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3C96D" w14:textId="77777777" w:rsidR="002B5DD0" w:rsidRDefault="00904FEB">
      <w:pPr>
        <w:jc w:val="center"/>
        <w:rPr>
          <w:b/>
          <w:sz w:val="32"/>
          <w:szCs w:val="32"/>
        </w:rPr>
      </w:pPr>
      <w:bookmarkStart w:id="0" w:name="_GoBack"/>
      <w:bookmarkEnd w:id="0"/>
      <w:r>
        <w:rPr>
          <w:b/>
          <w:sz w:val="32"/>
          <w:szCs w:val="32"/>
        </w:rPr>
        <w:t>MA 180 Intro to Statistics</w:t>
      </w:r>
    </w:p>
    <w:p w14:paraId="3D931FC2" w14:textId="77777777" w:rsidR="002B5DD0" w:rsidRDefault="00904FEB">
      <w:pPr>
        <w:jc w:val="center"/>
        <w:rPr>
          <w:b/>
          <w:sz w:val="32"/>
          <w:szCs w:val="32"/>
        </w:rPr>
      </w:pPr>
      <w:r>
        <w:rPr>
          <w:b/>
          <w:sz w:val="32"/>
          <w:szCs w:val="32"/>
        </w:rPr>
        <w:t>Syllabus</w:t>
      </w:r>
    </w:p>
    <w:p w14:paraId="5036220D" w14:textId="77777777" w:rsidR="002B5DD0" w:rsidRDefault="00904FEB">
      <w:pPr>
        <w:pStyle w:val="Heading1"/>
        <w:shd w:val="clear" w:color="auto" w:fill="549E39"/>
        <w:rPr>
          <w:rStyle w:val="Heading1Char"/>
        </w:rPr>
      </w:pPr>
      <w:r>
        <w:rPr>
          <w:rStyle w:val="Heading1Char"/>
        </w:rPr>
        <w:t>Instructor Inormation</w:t>
      </w:r>
    </w:p>
    <w:p w14:paraId="47C53EFD" w14:textId="1EBF671E" w:rsidR="002B5DD0" w:rsidRDefault="00904FEB">
      <w:r>
        <w:rPr>
          <w:highlight w:val="yellow"/>
        </w:rPr>
        <w:t>Name:</w:t>
      </w:r>
      <w:r>
        <w:t xml:space="preserve"> </w:t>
      </w:r>
      <w:r w:rsidR="00776F4C">
        <w:t>Dipak Dulal</w:t>
      </w:r>
      <w:r>
        <w:tab/>
      </w:r>
      <w:r>
        <w:rPr>
          <w:highlight w:val="yellow"/>
        </w:rPr>
        <w:t>Email:</w:t>
      </w:r>
      <w:r>
        <w:t xml:space="preserve"> </w:t>
      </w:r>
      <w:r w:rsidR="00776F4C">
        <w:t>dpdulal@uab.edu</w:t>
      </w:r>
      <w:r>
        <w:tab/>
        <w:t>Phone: 934-2154</w:t>
      </w:r>
      <w:r>
        <w:tab/>
      </w:r>
    </w:p>
    <w:p w14:paraId="750E49D2" w14:textId="39C2A958" w:rsidR="002B5DD0" w:rsidRDefault="00904FEB">
      <w:r>
        <w:rPr>
          <w:highlight w:val="yellow"/>
        </w:rPr>
        <w:t>Office Hours:</w:t>
      </w:r>
      <w:r>
        <w:t xml:space="preserve"> </w:t>
      </w:r>
      <w:r>
        <w:tab/>
        <w:t>T</w:t>
      </w:r>
      <w:r w:rsidR="00776F4C">
        <w:t xml:space="preserve"> </w:t>
      </w:r>
      <w:r>
        <w:t xml:space="preserve">Th </w:t>
      </w:r>
      <w:r w:rsidR="00776F4C">
        <w:t>12:15am -1:15pm</w:t>
      </w:r>
      <w:r>
        <w:tab/>
      </w:r>
      <w:r>
        <w:tab/>
      </w:r>
      <w:r>
        <w:tab/>
      </w:r>
      <w:r>
        <w:rPr>
          <w:highlight w:val="yellow"/>
        </w:rPr>
        <w:t>Office</w:t>
      </w:r>
      <w:r>
        <w:t>: UH 40</w:t>
      </w:r>
      <w:r w:rsidR="00776F4C">
        <w:t>13</w:t>
      </w:r>
    </w:p>
    <w:p w14:paraId="4032FC4B" w14:textId="77777777" w:rsidR="002B5DD0" w:rsidRDefault="002B5DD0">
      <w:pPr>
        <w:pStyle w:val="Heading1"/>
        <w:shd w:val="clear" w:color="auto" w:fill="549E39"/>
        <w:rPr>
          <w:u w:val="single"/>
        </w:rPr>
      </w:pPr>
    </w:p>
    <w:p w14:paraId="7F059E96" w14:textId="77777777" w:rsidR="002B5DD0" w:rsidRDefault="00904FEB">
      <w:pPr>
        <w:pStyle w:val="Heading1"/>
      </w:pPr>
      <w:r>
        <w:t>Course Description</w:t>
      </w:r>
    </w:p>
    <w:p w14:paraId="15A1DC6D" w14:textId="77777777" w:rsidR="002B5DD0" w:rsidRDefault="00904FEB">
      <w:r>
        <w:t>This course supports the development of quantitative literacy. As such, the course is about learning the concepts and principles of statistics and then being able to choose among various statistical methods when presented with a brand-new problem. The actu</w:t>
      </w:r>
      <w:r>
        <w:t xml:space="preserve">al calculations required in applying statistical methods is done using a calculator or computer program. </w:t>
      </w:r>
    </w:p>
    <w:p w14:paraId="7D9205DB" w14:textId="77777777" w:rsidR="002B5DD0" w:rsidRDefault="00904FEB">
      <w:pPr>
        <w:pStyle w:val="Heading1"/>
      </w:pPr>
      <w:r>
        <w:t>Course Materials</w:t>
      </w:r>
    </w:p>
    <w:p w14:paraId="65F78E9A" w14:textId="77777777" w:rsidR="002B5DD0" w:rsidRDefault="00904FEB">
      <w:pPr>
        <w:spacing w:after="0" w:line="240" w:lineRule="auto"/>
        <w:rPr>
          <w:b/>
        </w:rPr>
      </w:pPr>
      <w:r>
        <w:rPr>
          <w:b/>
        </w:rPr>
        <w:t>Access Code</w:t>
      </w:r>
    </w:p>
    <w:p w14:paraId="6526A773" w14:textId="77777777" w:rsidR="002B5DD0" w:rsidRDefault="00904FEB">
      <w:pPr>
        <w:spacing w:after="0" w:line="240" w:lineRule="auto"/>
      </w:pPr>
      <w:r>
        <w:t>The MyMathLab access code for the course is required and is available through Canvas with the First Day access unless you</w:t>
      </w:r>
      <w:r>
        <w:t xml:space="preserve"> opt out. Access is also available for purchase at the bookstore, but more expensive. There is no textbook for the course, eText is included with the Access Code. </w:t>
      </w:r>
    </w:p>
    <w:p w14:paraId="16F2CA23" w14:textId="77777777" w:rsidR="002B5DD0" w:rsidRDefault="00904FEB">
      <w:pPr>
        <w:spacing w:after="0" w:line="240" w:lineRule="auto"/>
      </w:pPr>
      <w:r>
        <w:rPr>
          <w:b/>
        </w:rPr>
        <w:t>Formula Sheet</w:t>
      </w:r>
    </w:p>
    <w:p w14:paraId="7B414EA5" w14:textId="77777777" w:rsidR="002B5DD0" w:rsidRDefault="00904FEB">
      <w:pPr>
        <w:spacing w:after="0" w:line="240" w:lineRule="auto"/>
      </w:pPr>
      <w:r>
        <w:t>The formula sheet will be printed on the test cover sheet during testing and i</w:t>
      </w:r>
      <w:r>
        <w:t>s located in Canvas. It is recommended to use the formula sheet during class and lab meetings as well as for assignments.</w:t>
      </w:r>
    </w:p>
    <w:p w14:paraId="1372F70C" w14:textId="77777777" w:rsidR="002B5DD0" w:rsidRDefault="00904FEB">
      <w:pPr>
        <w:spacing w:after="0" w:line="240" w:lineRule="auto"/>
        <w:rPr>
          <w:b/>
        </w:rPr>
      </w:pPr>
      <w:r>
        <w:rPr>
          <w:b/>
        </w:rPr>
        <w:t>Calculator</w:t>
      </w:r>
    </w:p>
    <w:p w14:paraId="3C7C3870" w14:textId="77777777" w:rsidR="002B5DD0" w:rsidRDefault="00904FEB">
      <w:pPr>
        <w:spacing w:after="0" w:line="240" w:lineRule="auto"/>
      </w:pPr>
      <w:r>
        <w:t>Only the computer calculator will be allowed during tests, no personal calculators. Students can use StatCrunch, which is i</w:t>
      </w:r>
      <w:r>
        <w:t>ncluded with MyMathLab or Excel for computations.</w:t>
      </w:r>
    </w:p>
    <w:p w14:paraId="048DF98E" w14:textId="77777777" w:rsidR="002B5DD0" w:rsidRDefault="002B5DD0">
      <w:pPr>
        <w:spacing w:after="0" w:line="240" w:lineRule="auto"/>
      </w:pPr>
    </w:p>
    <w:p w14:paraId="55AB8065" w14:textId="77777777" w:rsidR="002B5DD0" w:rsidRDefault="00904FEB">
      <w:pPr>
        <w:pStyle w:val="Heading1"/>
      </w:pPr>
      <w:r>
        <w:t>Course Content</w:t>
      </w:r>
    </w:p>
    <w:p w14:paraId="2F698B4B" w14:textId="77777777" w:rsidR="002B5DD0" w:rsidRDefault="00904FEB">
      <w:pPr>
        <w:pStyle w:val="ListParagraph"/>
        <w:numPr>
          <w:ilvl w:val="0"/>
          <w:numId w:val="1"/>
        </w:numPr>
      </w:pPr>
      <w:r>
        <w:t>Handle data sets, construct and interpret tables, graphs, and schematic representations of mathematical relations</w:t>
      </w:r>
    </w:p>
    <w:p w14:paraId="7F118599" w14:textId="77777777" w:rsidR="002B5DD0" w:rsidRDefault="00904FEB">
      <w:pPr>
        <w:pStyle w:val="ListParagraph"/>
        <w:numPr>
          <w:ilvl w:val="0"/>
          <w:numId w:val="1"/>
        </w:numPr>
      </w:pPr>
      <w:r>
        <w:t>Translate verbal descriptions into mathematical form</w:t>
      </w:r>
    </w:p>
    <w:p w14:paraId="5E3F381D" w14:textId="77777777" w:rsidR="002B5DD0" w:rsidRDefault="00904FEB">
      <w:pPr>
        <w:pStyle w:val="ListParagraph"/>
        <w:numPr>
          <w:ilvl w:val="0"/>
          <w:numId w:val="1"/>
        </w:numPr>
      </w:pPr>
      <w:r>
        <w:t xml:space="preserve">Compute statistics and </w:t>
      </w:r>
      <w:r>
        <w:t>evaluate the significance of observations</w:t>
      </w:r>
    </w:p>
    <w:p w14:paraId="3A58A25A" w14:textId="77777777" w:rsidR="002B5DD0" w:rsidRDefault="00904FEB">
      <w:pPr>
        <w:pStyle w:val="ListParagraph"/>
        <w:numPr>
          <w:ilvl w:val="0"/>
          <w:numId w:val="1"/>
        </w:numPr>
      </w:pPr>
      <w:r>
        <w:t>Probability laws and empirical data</w:t>
      </w:r>
    </w:p>
    <w:p w14:paraId="75592D29" w14:textId="77777777" w:rsidR="002B5DD0" w:rsidRDefault="00904FEB">
      <w:pPr>
        <w:pStyle w:val="ListParagraph"/>
        <w:numPr>
          <w:ilvl w:val="0"/>
          <w:numId w:val="1"/>
        </w:numPr>
      </w:pPr>
      <w:r>
        <w:t>Measures of center and variability</w:t>
      </w:r>
    </w:p>
    <w:p w14:paraId="79266F42" w14:textId="77777777" w:rsidR="002B5DD0" w:rsidRDefault="00904FEB">
      <w:pPr>
        <w:pStyle w:val="ListParagraph"/>
        <w:numPr>
          <w:ilvl w:val="0"/>
          <w:numId w:val="1"/>
        </w:numPr>
      </w:pPr>
      <w:r>
        <w:t>Normal distributions</w:t>
      </w:r>
    </w:p>
    <w:p w14:paraId="5287306F" w14:textId="77777777" w:rsidR="002B5DD0" w:rsidRDefault="00904FEB">
      <w:pPr>
        <w:pStyle w:val="ListParagraph"/>
        <w:numPr>
          <w:ilvl w:val="0"/>
          <w:numId w:val="1"/>
        </w:numPr>
      </w:pPr>
      <w:r>
        <w:t>Sampling distributions</w:t>
      </w:r>
    </w:p>
    <w:p w14:paraId="2759FD19" w14:textId="77777777" w:rsidR="002B5DD0" w:rsidRDefault="00904FEB">
      <w:pPr>
        <w:pStyle w:val="ListParagraph"/>
        <w:numPr>
          <w:ilvl w:val="0"/>
          <w:numId w:val="1"/>
        </w:numPr>
      </w:pPr>
      <w:r>
        <w:t>Hypothesis testing and confidence intervals</w:t>
      </w:r>
    </w:p>
    <w:p w14:paraId="424F7BB4" w14:textId="77777777" w:rsidR="002B5DD0" w:rsidRDefault="00904FEB">
      <w:pPr>
        <w:pStyle w:val="ListParagraph"/>
        <w:numPr>
          <w:ilvl w:val="0"/>
          <w:numId w:val="1"/>
        </w:numPr>
      </w:pPr>
      <w:r>
        <w:t>Linear regression analysis</w:t>
      </w:r>
    </w:p>
    <w:p w14:paraId="7E497723" w14:textId="77777777" w:rsidR="002B5DD0" w:rsidRDefault="00904FEB">
      <w:pPr>
        <w:pStyle w:val="ListParagraph"/>
        <w:numPr>
          <w:ilvl w:val="0"/>
          <w:numId w:val="1"/>
        </w:numPr>
      </w:pPr>
      <w:r>
        <w:t>Analysis of categorical data</w:t>
      </w:r>
    </w:p>
    <w:p w14:paraId="636C763E" w14:textId="77777777" w:rsidR="002B5DD0" w:rsidRDefault="00904FEB">
      <w:pPr>
        <w:pStyle w:val="ListParagraph"/>
        <w:numPr>
          <w:ilvl w:val="0"/>
          <w:numId w:val="1"/>
        </w:numPr>
      </w:pPr>
      <w:r>
        <w:lastRenderedPageBreak/>
        <w:t>One-way analysis of variance</w:t>
      </w:r>
    </w:p>
    <w:p w14:paraId="53012487" w14:textId="77777777" w:rsidR="002B5DD0" w:rsidRDefault="002B5DD0">
      <w:pPr>
        <w:pStyle w:val="ListParagraph"/>
      </w:pPr>
    </w:p>
    <w:p w14:paraId="6DE3407B" w14:textId="77777777" w:rsidR="002B5DD0" w:rsidRDefault="002B5DD0">
      <w:pPr>
        <w:pStyle w:val="ListParagraph"/>
      </w:pPr>
    </w:p>
    <w:p w14:paraId="422DAF09" w14:textId="77777777" w:rsidR="002B5DD0" w:rsidRDefault="002B5DD0">
      <w:pPr>
        <w:pStyle w:val="ListParagraph"/>
      </w:pPr>
    </w:p>
    <w:p w14:paraId="6DA0CBF3" w14:textId="77777777" w:rsidR="002B5DD0" w:rsidRDefault="00904FEB">
      <w:pPr>
        <w:pStyle w:val="Heading1"/>
      </w:pPr>
      <w:r>
        <w:t>course objectives</w:t>
      </w:r>
    </w:p>
    <w:p w14:paraId="4CBD27C1" w14:textId="77777777" w:rsidR="002B5DD0" w:rsidRDefault="00904FEB">
      <w:pPr>
        <w:pStyle w:val="ListParagraph"/>
        <w:numPr>
          <w:ilvl w:val="0"/>
          <w:numId w:val="2"/>
        </w:numPr>
      </w:pPr>
      <w:r>
        <w:t>Recognize and analyze sampling methods and the importance collecting data.</w:t>
      </w:r>
    </w:p>
    <w:p w14:paraId="0FAB0855" w14:textId="77777777" w:rsidR="002B5DD0" w:rsidRDefault="00904FEB">
      <w:pPr>
        <w:pStyle w:val="ListParagraph"/>
        <w:numPr>
          <w:ilvl w:val="0"/>
          <w:numId w:val="2"/>
        </w:numPr>
      </w:pPr>
      <w:r>
        <w:t xml:space="preserve">Develop the ability to organize, summarize, and represent data in ways that enable us to see important characteristics. </w:t>
      </w:r>
    </w:p>
    <w:p w14:paraId="2F6B69F7" w14:textId="77777777" w:rsidR="002B5DD0" w:rsidRDefault="00904FEB">
      <w:pPr>
        <w:pStyle w:val="ListParagraph"/>
        <w:numPr>
          <w:ilvl w:val="0"/>
          <w:numId w:val="2"/>
        </w:numPr>
      </w:pPr>
      <w:r>
        <w:t>Apply met</w:t>
      </w:r>
      <w:r>
        <w:t>hods of descriptive statistics to summarize or describe relevant characteristics of data.</w:t>
      </w:r>
    </w:p>
    <w:p w14:paraId="46CCEE57" w14:textId="77777777" w:rsidR="002B5DD0" w:rsidRDefault="00904FEB">
      <w:pPr>
        <w:pStyle w:val="ListParagraph"/>
        <w:numPr>
          <w:ilvl w:val="0"/>
          <w:numId w:val="2"/>
        </w:numPr>
      </w:pPr>
      <w:r>
        <w:t>Identify, interpret, and calculate probability values.</w:t>
      </w:r>
    </w:p>
    <w:p w14:paraId="3EE04FA1" w14:textId="77777777" w:rsidR="002B5DD0" w:rsidRDefault="00904FEB">
      <w:pPr>
        <w:pStyle w:val="ListParagraph"/>
        <w:numPr>
          <w:ilvl w:val="0"/>
          <w:numId w:val="2"/>
        </w:numPr>
      </w:pPr>
      <w:r>
        <w:t>Select and use discrete or continuous probability distributions.</w:t>
      </w:r>
    </w:p>
    <w:p w14:paraId="3E5BAD07" w14:textId="77777777" w:rsidR="002B5DD0" w:rsidRDefault="00904FEB">
      <w:pPr>
        <w:pStyle w:val="ListParagraph"/>
        <w:numPr>
          <w:ilvl w:val="0"/>
          <w:numId w:val="2"/>
        </w:numPr>
      </w:pPr>
      <w:r>
        <w:t>Use basic methods of testing claims about popu</w:t>
      </w:r>
      <w:r>
        <w:t xml:space="preserve">lation parameters by selecting sample data to estimate values of population parameters as well as conducting tests about population parameters. </w:t>
      </w:r>
    </w:p>
    <w:p w14:paraId="5E09C1B4" w14:textId="77777777" w:rsidR="002B5DD0" w:rsidRDefault="00904FEB">
      <w:pPr>
        <w:pStyle w:val="ListParagraph"/>
        <w:numPr>
          <w:ilvl w:val="0"/>
          <w:numId w:val="2"/>
        </w:numPr>
      </w:pPr>
      <w:r>
        <w:t>Analyze paired data to determine correlation and identify a linear regression equation to predict values.</w:t>
      </w:r>
    </w:p>
    <w:p w14:paraId="37590044" w14:textId="77777777" w:rsidR="002B5DD0" w:rsidRDefault="00904FEB">
      <w:pPr>
        <w:pStyle w:val="ListParagraph"/>
        <w:numPr>
          <w:ilvl w:val="0"/>
          <w:numId w:val="2"/>
        </w:numPr>
      </w:pPr>
      <w:r>
        <w:t xml:space="preserve">Use </w:t>
      </w:r>
      <w:r>
        <w:t>statistical methods for analyzing categorical data that are separable into different cells.</w:t>
      </w:r>
    </w:p>
    <w:p w14:paraId="6C6BFD6D" w14:textId="77777777" w:rsidR="002B5DD0" w:rsidRDefault="00904FEB">
      <w:pPr>
        <w:pStyle w:val="ListParagraph"/>
        <w:numPr>
          <w:ilvl w:val="0"/>
          <w:numId w:val="2"/>
        </w:numPr>
      </w:pPr>
      <w:r>
        <w:t xml:space="preserve">Identify and apply methods of one-way analysis of variance to conduct a hypothesis tests. </w:t>
      </w:r>
    </w:p>
    <w:p w14:paraId="05E63ECE" w14:textId="77777777" w:rsidR="002B5DD0" w:rsidRDefault="00904FEB">
      <w:pPr>
        <w:pStyle w:val="Heading1"/>
      </w:pPr>
      <w:r>
        <w:t>Course access</w:t>
      </w:r>
    </w:p>
    <w:p w14:paraId="6D041038" w14:textId="77777777" w:rsidR="002B5DD0" w:rsidRDefault="002B5DD0">
      <w:pPr>
        <w:spacing w:after="0" w:line="240" w:lineRule="auto"/>
        <w:rPr>
          <w:b/>
        </w:rPr>
      </w:pPr>
    </w:p>
    <w:p w14:paraId="4FEF14B3" w14:textId="77777777" w:rsidR="002B5DD0" w:rsidRDefault="00904FEB">
      <w:pPr>
        <w:spacing w:after="0" w:line="240" w:lineRule="auto"/>
      </w:pPr>
      <w:r>
        <w:rPr>
          <w:b/>
        </w:rPr>
        <w:t>Canvas</w:t>
      </w:r>
    </w:p>
    <w:p w14:paraId="21FA07A6" w14:textId="77777777" w:rsidR="002B5DD0" w:rsidRDefault="00904FEB">
      <w:pPr>
        <w:spacing w:after="0" w:line="240" w:lineRule="auto"/>
      </w:pPr>
      <w:r>
        <w:t>All additional course materials as well as deadline</w:t>
      </w:r>
      <w:r>
        <w:t>s will be in Canvas. Official communication will be done through Canvas announcements or in person. Canvas will be used to access online assignments in MyMathLab, as well as the lecture notes used during class meetings.</w:t>
      </w:r>
    </w:p>
    <w:p w14:paraId="10041F02" w14:textId="77777777" w:rsidR="002B5DD0" w:rsidRDefault="00904FEB">
      <w:pPr>
        <w:spacing w:after="0" w:line="240" w:lineRule="auto"/>
        <w:rPr>
          <w:b/>
        </w:rPr>
      </w:pPr>
      <w:r>
        <w:rPr>
          <w:b/>
        </w:rPr>
        <w:t>MyMathLab</w:t>
      </w:r>
    </w:p>
    <w:p w14:paraId="09264FF2" w14:textId="77777777" w:rsidR="002B5DD0" w:rsidRDefault="00904FEB">
      <w:pPr>
        <w:spacing w:after="0" w:line="240" w:lineRule="auto"/>
      </w:pPr>
      <w:r>
        <w:t>All previews, homeworks, q</w:t>
      </w:r>
      <w:r>
        <w:t>uizzes, and tests for this course are available in MyMathLab only. A user account is required for every student and needs to be activated through Canvas. You won’t need an access code unless you opt out of the First Day access provided at a reduced cost. I</w:t>
      </w:r>
      <w:r>
        <w:t>nstructions can be found under Course Information.</w:t>
      </w:r>
    </w:p>
    <w:p w14:paraId="1DD59D94" w14:textId="77777777" w:rsidR="002B5DD0" w:rsidRDefault="00904FEB">
      <w:pPr>
        <w:spacing w:after="0" w:line="240" w:lineRule="auto"/>
      </w:pPr>
      <w:r>
        <w:t xml:space="preserve"> NO EXTENSIONS for missed assignments due to failure to activate your account or opt out of First Day access. </w:t>
      </w:r>
    </w:p>
    <w:p w14:paraId="270B061E" w14:textId="77777777" w:rsidR="002B5DD0" w:rsidRDefault="00904FEB">
      <w:pPr>
        <w:spacing w:after="0" w:line="240" w:lineRule="auto"/>
        <w:rPr>
          <w:b/>
        </w:rPr>
      </w:pPr>
      <w:r>
        <w:rPr>
          <w:b/>
        </w:rPr>
        <w:t>Browser</w:t>
      </w:r>
    </w:p>
    <w:p w14:paraId="6CF66E15" w14:textId="77777777" w:rsidR="002B5DD0" w:rsidRDefault="00904FEB">
      <w:pPr>
        <w:spacing w:after="0" w:line="240" w:lineRule="auto"/>
      </w:pPr>
      <w:r>
        <w:t xml:space="preserve">It is recommended to use Mozilla Firefox or Google Chrome to avoid any browser issues </w:t>
      </w:r>
      <w:r>
        <w:t>with Canvas or MyMathLab.</w:t>
      </w:r>
    </w:p>
    <w:p w14:paraId="44EA1CE1" w14:textId="77777777" w:rsidR="002B5DD0" w:rsidRDefault="002B5DD0">
      <w:pPr>
        <w:spacing w:after="0" w:line="240" w:lineRule="auto"/>
      </w:pPr>
    </w:p>
    <w:p w14:paraId="6462CA50" w14:textId="77777777" w:rsidR="002B5DD0" w:rsidRDefault="002B5DD0">
      <w:pPr>
        <w:spacing w:after="0" w:line="240" w:lineRule="auto"/>
      </w:pPr>
    </w:p>
    <w:p w14:paraId="3CF85274" w14:textId="77777777" w:rsidR="002B5DD0" w:rsidRDefault="00904FEB">
      <w:pPr>
        <w:pStyle w:val="Heading1"/>
      </w:pPr>
      <w:r>
        <w:t>Course Grade</w:t>
      </w:r>
    </w:p>
    <w:p w14:paraId="1D7FFB7E" w14:textId="77777777" w:rsidR="002B5DD0" w:rsidRDefault="00904FEB">
      <w:r>
        <w:t xml:space="preserve">Your grade in the course is determined by the points earned throughout the semester. </w:t>
      </w:r>
    </w:p>
    <w:tbl>
      <w:tblPr>
        <w:tblStyle w:val="TableGrid"/>
        <w:tblW w:w="5033" w:type="dxa"/>
        <w:tblLayout w:type="fixed"/>
        <w:tblLook w:val="04A0" w:firstRow="1" w:lastRow="0" w:firstColumn="1" w:lastColumn="0" w:noHBand="0" w:noVBand="1"/>
      </w:tblPr>
      <w:tblGrid>
        <w:gridCol w:w="4199"/>
        <w:gridCol w:w="834"/>
      </w:tblGrid>
      <w:tr w:rsidR="002B5DD0" w14:paraId="527E951D" w14:textId="77777777">
        <w:trPr>
          <w:trHeight w:val="241"/>
        </w:trPr>
        <w:tc>
          <w:tcPr>
            <w:tcW w:w="4198" w:type="dxa"/>
            <w:vAlign w:val="center"/>
          </w:tcPr>
          <w:p w14:paraId="51DFD1F6" w14:textId="77777777" w:rsidR="002B5DD0" w:rsidRDefault="00904FEB">
            <w:pPr>
              <w:widowControl w:val="0"/>
              <w:spacing w:before="0" w:after="0" w:line="240" w:lineRule="auto"/>
              <w:jc w:val="center"/>
              <w:rPr>
                <w:b/>
              </w:rPr>
            </w:pPr>
            <w:r>
              <w:rPr>
                <w:rFonts w:eastAsia="DengXian" w:cs="Arial"/>
                <w:b/>
              </w:rPr>
              <w:t>Assignments</w:t>
            </w:r>
          </w:p>
        </w:tc>
        <w:tc>
          <w:tcPr>
            <w:tcW w:w="834" w:type="dxa"/>
          </w:tcPr>
          <w:p w14:paraId="1286A542" w14:textId="77777777" w:rsidR="002B5DD0" w:rsidRDefault="00904FEB">
            <w:pPr>
              <w:widowControl w:val="0"/>
              <w:spacing w:before="0" w:after="0" w:line="240" w:lineRule="auto"/>
              <w:rPr>
                <w:b/>
              </w:rPr>
            </w:pPr>
            <w:r>
              <w:rPr>
                <w:rFonts w:eastAsia="DengXian" w:cs="Arial"/>
                <w:b/>
              </w:rPr>
              <w:t>Points</w:t>
            </w:r>
          </w:p>
        </w:tc>
      </w:tr>
      <w:tr w:rsidR="002B5DD0" w14:paraId="623D7822" w14:textId="77777777">
        <w:trPr>
          <w:trHeight w:val="241"/>
        </w:trPr>
        <w:tc>
          <w:tcPr>
            <w:tcW w:w="4198" w:type="dxa"/>
          </w:tcPr>
          <w:p w14:paraId="5D2B65F4" w14:textId="77777777" w:rsidR="002B5DD0" w:rsidRDefault="00904FEB">
            <w:pPr>
              <w:widowControl w:val="0"/>
              <w:spacing w:before="0" w:after="0" w:line="240" w:lineRule="auto"/>
              <w:rPr>
                <w:rFonts w:ascii="Calibri" w:eastAsia="DengXian" w:hAnsi="Calibri" w:cs="Arial"/>
              </w:rPr>
            </w:pPr>
            <w:r>
              <w:rPr>
                <w:rFonts w:eastAsia="DengXian" w:cs="Arial"/>
              </w:rPr>
              <w:t>Preview (10 quizzes @ 5 points each)</w:t>
            </w:r>
          </w:p>
        </w:tc>
        <w:tc>
          <w:tcPr>
            <w:tcW w:w="834" w:type="dxa"/>
            <w:vAlign w:val="center"/>
          </w:tcPr>
          <w:p w14:paraId="64F33B79" w14:textId="77777777" w:rsidR="002B5DD0" w:rsidRDefault="00904FEB">
            <w:pPr>
              <w:widowControl w:val="0"/>
              <w:spacing w:before="0" w:after="0" w:line="240" w:lineRule="auto"/>
              <w:jc w:val="right"/>
              <w:rPr>
                <w:rFonts w:ascii="Calibri" w:eastAsia="DengXian" w:hAnsi="Calibri" w:cs="Arial"/>
              </w:rPr>
            </w:pPr>
            <w:r>
              <w:rPr>
                <w:rFonts w:eastAsia="DengXian" w:cs="Arial"/>
              </w:rPr>
              <w:t>50</w:t>
            </w:r>
          </w:p>
        </w:tc>
      </w:tr>
      <w:tr w:rsidR="002B5DD0" w14:paraId="1E0375C1" w14:textId="77777777">
        <w:trPr>
          <w:trHeight w:val="269"/>
        </w:trPr>
        <w:tc>
          <w:tcPr>
            <w:tcW w:w="4198" w:type="dxa"/>
          </w:tcPr>
          <w:p w14:paraId="6B368EC2" w14:textId="77777777" w:rsidR="002B5DD0" w:rsidRDefault="00904FEB">
            <w:pPr>
              <w:widowControl w:val="0"/>
              <w:spacing w:before="0" w:after="0" w:line="240" w:lineRule="auto"/>
              <w:rPr>
                <w:rFonts w:ascii="Calibri" w:eastAsia="DengXian" w:hAnsi="Calibri" w:cs="Arial"/>
              </w:rPr>
            </w:pPr>
            <w:r>
              <w:rPr>
                <w:rFonts w:eastAsia="DengXian" w:cs="Arial"/>
              </w:rPr>
              <w:t>Homework(10 assignments @ 10 points each)</w:t>
            </w:r>
          </w:p>
        </w:tc>
        <w:tc>
          <w:tcPr>
            <w:tcW w:w="834" w:type="dxa"/>
            <w:vAlign w:val="center"/>
          </w:tcPr>
          <w:p w14:paraId="270FA396" w14:textId="77777777" w:rsidR="002B5DD0" w:rsidRDefault="00904FEB">
            <w:pPr>
              <w:widowControl w:val="0"/>
              <w:spacing w:before="0" w:after="0" w:line="240" w:lineRule="auto"/>
              <w:jc w:val="right"/>
              <w:rPr>
                <w:rFonts w:ascii="Calibri" w:eastAsia="DengXian" w:hAnsi="Calibri" w:cs="Arial"/>
              </w:rPr>
            </w:pPr>
            <w:r>
              <w:rPr>
                <w:rFonts w:eastAsia="DengXian" w:cs="Arial"/>
              </w:rPr>
              <w:t>100</w:t>
            </w:r>
          </w:p>
        </w:tc>
      </w:tr>
      <w:tr w:rsidR="002B5DD0" w14:paraId="4E4E21DD" w14:textId="77777777">
        <w:trPr>
          <w:trHeight w:val="254"/>
        </w:trPr>
        <w:tc>
          <w:tcPr>
            <w:tcW w:w="4198" w:type="dxa"/>
          </w:tcPr>
          <w:p w14:paraId="05C932CD" w14:textId="77777777" w:rsidR="002B5DD0" w:rsidRDefault="00904FEB">
            <w:pPr>
              <w:widowControl w:val="0"/>
              <w:spacing w:before="0" w:after="0" w:line="240" w:lineRule="auto"/>
              <w:rPr>
                <w:rFonts w:ascii="Calibri" w:eastAsia="DengXian" w:hAnsi="Calibri" w:cs="Arial"/>
              </w:rPr>
            </w:pPr>
            <w:r>
              <w:rPr>
                <w:rFonts w:eastAsia="DengXian" w:cs="Arial"/>
              </w:rPr>
              <w:t>Quizzes (10 quizzes @</w:t>
            </w:r>
            <w:r>
              <w:rPr>
                <w:rFonts w:eastAsia="DengXian" w:cs="Arial"/>
              </w:rPr>
              <w:t xml:space="preserve"> 10 points each)</w:t>
            </w:r>
          </w:p>
        </w:tc>
        <w:tc>
          <w:tcPr>
            <w:tcW w:w="834" w:type="dxa"/>
            <w:vAlign w:val="center"/>
          </w:tcPr>
          <w:p w14:paraId="12AE931B" w14:textId="77777777" w:rsidR="002B5DD0" w:rsidRDefault="00904FEB">
            <w:pPr>
              <w:widowControl w:val="0"/>
              <w:spacing w:before="0" w:after="0" w:line="240" w:lineRule="auto"/>
              <w:jc w:val="right"/>
              <w:rPr>
                <w:rFonts w:ascii="Calibri" w:eastAsia="DengXian" w:hAnsi="Calibri" w:cs="Arial"/>
              </w:rPr>
            </w:pPr>
            <w:r>
              <w:rPr>
                <w:rFonts w:eastAsia="DengXian" w:cs="Arial"/>
              </w:rPr>
              <w:t>100</w:t>
            </w:r>
          </w:p>
        </w:tc>
      </w:tr>
      <w:tr w:rsidR="002B5DD0" w14:paraId="23318711" w14:textId="77777777">
        <w:trPr>
          <w:trHeight w:val="241"/>
        </w:trPr>
        <w:tc>
          <w:tcPr>
            <w:tcW w:w="4198" w:type="dxa"/>
          </w:tcPr>
          <w:p w14:paraId="2675F7D3" w14:textId="77777777" w:rsidR="002B5DD0" w:rsidRDefault="00904FEB">
            <w:pPr>
              <w:widowControl w:val="0"/>
              <w:spacing w:before="0" w:after="0" w:line="240" w:lineRule="auto"/>
              <w:rPr>
                <w:rFonts w:ascii="Calibri" w:eastAsia="DengXian" w:hAnsi="Calibri" w:cs="Arial"/>
              </w:rPr>
            </w:pPr>
            <w:r>
              <w:rPr>
                <w:rFonts w:eastAsia="DengXian" w:cs="Arial"/>
              </w:rPr>
              <w:t>Tests (4 tests @ 100 points each)</w:t>
            </w:r>
          </w:p>
        </w:tc>
        <w:tc>
          <w:tcPr>
            <w:tcW w:w="834" w:type="dxa"/>
            <w:vAlign w:val="center"/>
          </w:tcPr>
          <w:p w14:paraId="16B119A5" w14:textId="77777777" w:rsidR="002B5DD0" w:rsidRDefault="00904FEB">
            <w:pPr>
              <w:widowControl w:val="0"/>
              <w:spacing w:before="0" w:after="0" w:line="240" w:lineRule="auto"/>
              <w:jc w:val="right"/>
              <w:rPr>
                <w:rFonts w:ascii="Calibri" w:eastAsia="DengXian" w:hAnsi="Calibri" w:cs="Arial"/>
              </w:rPr>
            </w:pPr>
            <w:r>
              <w:rPr>
                <w:rFonts w:eastAsia="DengXian" w:cs="Arial"/>
              </w:rPr>
              <w:t>400</w:t>
            </w:r>
          </w:p>
        </w:tc>
      </w:tr>
      <w:tr w:rsidR="002B5DD0" w14:paraId="02B4CC44" w14:textId="77777777">
        <w:trPr>
          <w:trHeight w:val="241"/>
        </w:trPr>
        <w:tc>
          <w:tcPr>
            <w:tcW w:w="4198" w:type="dxa"/>
          </w:tcPr>
          <w:p w14:paraId="3E174C86" w14:textId="77777777" w:rsidR="002B5DD0" w:rsidRDefault="00904FEB">
            <w:pPr>
              <w:widowControl w:val="0"/>
              <w:spacing w:before="0" w:after="0" w:line="240" w:lineRule="auto"/>
              <w:rPr>
                <w:rFonts w:ascii="Calibri" w:eastAsia="DengXian" w:hAnsi="Calibri" w:cs="Arial"/>
              </w:rPr>
            </w:pPr>
            <w:r>
              <w:rPr>
                <w:rFonts w:eastAsia="DengXian" w:cs="Arial"/>
              </w:rPr>
              <w:t>Final Exam</w:t>
            </w:r>
          </w:p>
        </w:tc>
        <w:tc>
          <w:tcPr>
            <w:tcW w:w="834" w:type="dxa"/>
            <w:vAlign w:val="center"/>
          </w:tcPr>
          <w:p w14:paraId="1EDF971C" w14:textId="77777777" w:rsidR="002B5DD0" w:rsidRDefault="00904FEB">
            <w:pPr>
              <w:widowControl w:val="0"/>
              <w:spacing w:before="0" w:after="0" w:line="240" w:lineRule="auto"/>
              <w:jc w:val="right"/>
              <w:rPr>
                <w:rFonts w:ascii="Calibri" w:eastAsia="DengXian" w:hAnsi="Calibri" w:cs="Arial"/>
              </w:rPr>
            </w:pPr>
            <w:r>
              <w:rPr>
                <w:rFonts w:eastAsia="DengXian" w:cs="Arial"/>
              </w:rPr>
              <w:t>250</w:t>
            </w:r>
          </w:p>
        </w:tc>
      </w:tr>
      <w:tr w:rsidR="002B5DD0" w14:paraId="2A3D555A" w14:textId="77777777">
        <w:trPr>
          <w:trHeight w:val="241"/>
        </w:trPr>
        <w:tc>
          <w:tcPr>
            <w:tcW w:w="4198" w:type="dxa"/>
          </w:tcPr>
          <w:p w14:paraId="6D0CFDEE" w14:textId="77777777" w:rsidR="002B5DD0" w:rsidRDefault="00904FEB">
            <w:pPr>
              <w:widowControl w:val="0"/>
              <w:spacing w:before="0" w:after="0" w:line="240" w:lineRule="auto"/>
              <w:rPr>
                <w:rFonts w:ascii="Calibri" w:eastAsia="DengXian" w:hAnsi="Calibri" w:cs="Arial"/>
              </w:rPr>
            </w:pPr>
            <w:r>
              <w:rPr>
                <w:rFonts w:eastAsia="DengXian" w:cs="Arial"/>
              </w:rPr>
              <w:lastRenderedPageBreak/>
              <w:t>Class (10 @ 2 points each)</w:t>
            </w:r>
          </w:p>
        </w:tc>
        <w:tc>
          <w:tcPr>
            <w:tcW w:w="834" w:type="dxa"/>
            <w:vAlign w:val="center"/>
          </w:tcPr>
          <w:p w14:paraId="26767A44" w14:textId="77777777" w:rsidR="002B5DD0" w:rsidRDefault="00904FEB">
            <w:pPr>
              <w:widowControl w:val="0"/>
              <w:spacing w:before="0" w:after="0" w:line="240" w:lineRule="auto"/>
              <w:jc w:val="right"/>
              <w:rPr>
                <w:rFonts w:ascii="Calibri" w:eastAsia="DengXian" w:hAnsi="Calibri" w:cs="Arial"/>
              </w:rPr>
            </w:pPr>
            <w:r>
              <w:rPr>
                <w:rFonts w:eastAsia="DengXian" w:cs="Arial"/>
              </w:rPr>
              <w:t>20</w:t>
            </w:r>
          </w:p>
        </w:tc>
      </w:tr>
      <w:tr w:rsidR="002B5DD0" w14:paraId="279F8EDA" w14:textId="77777777">
        <w:trPr>
          <w:trHeight w:val="241"/>
        </w:trPr>
        <w:tc>
          <w:tcPr>
            <w:tcW w:w="4198" w:type="dxa"/>
          </w:tcPr>
          <w:p w14:paraId="0E001E96" w14:textId="77777777" w:rsidR="002B5DD0" w:rsidRDefault="00904FEB">
            <w:pPr>
              <w:widowControl w:val="0"/>
              <w:spacing w:before="0" w:after="0" w:line="240" w:lineRule="auto"/>
              <w:rPr>
                <w:rFonts w:ascii="Calibri" w:eastAsia="DengXian" w:hAnsi="Calibri" w:cs="Arial"/>
              </w:rPr>
            </w:pPr>
            <w:r>
              <w:rPr>
                <w:rFonts w:eastAsia="DengXian" w:cs="Arial"/>
              </w:rPr>
              <w:t>Lab (10 @ 8 points each)</w:t>
            </w:r>
          </w:p>
        </w:tc>
        <w:tc>
          <w:tcPr>
            <w:tcW w:w="834" w:type="dxa"/>
            <w:vAlign w:val="center"/>
          </w:tcPr>
          <w:p w14:paraId="35A21F82" w14:textId="77777777" w:rsidR="002B5DD0" w:rsidRDefault="00904FEB">
            <w:pPr>
              <w:widowControl w:val="0"/>
              <w:spacing w:before="0" w:after="0" w:line="240" w:lineRule="auto"/>
              <w:jc w:val="right"/>
              <w:rPr>
                <w:rFonts w:ascii="Calibri" w:eastAsia="DengXian" w:hAnsi="Calibri" w:cs="Arial"/>
              </w:rPr>
            </w:pPr>
            <w:r>
              <w:rPr>
                <w:rFonts w:eastAsia="DengXian" w:cs="Arial"/>
              </w:rPr>
              <w:t>80</w:t>
            </w:r>
          </w:p>
        </w:tc>
      </w:tr>
      <w:tr w:rsidR="002B5DD0" w14:paraId="5770F2FE" w14:textId="77777777">
        <w:trPr>
          <w:trHeight w:val="241"/>
        </w:trPr>
        <w:tc>
          <w:tcPr>
            <w:tcW w:w="4198" w:type="dxa"/>
          </w:tcPr>
          <w:p w14:paraId="2F3805C2" w14:textId="77777777" w:rsidR="002B5DD0" w:rsidRDefault="00904FEB">
            <w:pPr>
              <w:widowControl w:val="0"/>
              <w:spacing w:before="0" w:after="0" w:line="240" w:lineRule="auto"/>
              <w:rPr>
                <w:b/>
              </w:rPr>
            </w:pPr>
            <w:r>
              <w:rPr>
                <w:rFonts w:eastAsia="DengXian" w:cs="Arial"/>
                <w:b/>
              </w:rPr>
              <w:t>Total points possible</w:t>
            </w:r>
          </w:p>
        </w:tc>
        <w:tc>
          <w:tcPr>
            <w:tcW w:w="834" w:type="dxa"/>
            <w:vAlign w:val="center"/>
          </w:tcPr>
          <w:p w14:paraId="13419EAC" w14:textId="77777777" w:rsidR="002B5DD0" w:rsidRDefault="00904FEB">
            <w:pPr>
              <w:widowControl w:val="0"/>
              <w:spacing w:before="0" w:after="0" w:line="240" w:lineRule="auto"/>
              <w:jc w:val="right"/>
              <w:rPr>
                <w:b/>
              </w:rPr>
            </w:pPr>
            <w:r>
              <w:rPr>
                <w:rFonts w:eastAsia="DengXian" w:cs="Arial"/>
                <w:b/>
              </w:rPr>
              <w:t>1000</w:t>
            </w:r>
          </w:p>
        </w:tc>
      </w:tr>
      <w:tr w:rsidR="002B5DD0" w14:paraId="1FD35EE9" w14:textId="77777777">
        <w:trPr>
          <w:trHeight w:val="241"/>
        </w:trPr>
        <w:tc>
          <w:tcPr>
            <w:tcW w:w="4198" w:type="dxa"/>
          </w:tcPr>
          <w:p w14:paraId="2326D131" w14:textId="77777777" w:rsidR="002B5DD0" w:rsidRDefault="00904FEB">
            <w:pPr>
              <w:widowControl w:val="0"/>
              <w:spacing w:before="0" w:after="0" w:line="240" w:lineRule="auto"/>
              <w:rPr>
                <w:rFonts w:ascii="Calibri" w:eastAsia="DengXian" w:hAnsi="Calibri" w:cs="Arial"/>
              </w:rPr>
            </w:pPr>
            <w:r>
              <w:rPr>
                <w:rFonts w:eastAsia="DengXian" w:cs="Arial"/>
              </w:rPr>
              <w:t>Syllabus Quiz</w:t>
            </w:r>
          </w:p>
        </w:tc>
        <w:tc>
          <w:tcPr>
            <w:tcW w:w="834" w:type="dxa"/>
            <w:vAlign w:val="center"/>
          </w:tcPr>
          <w:p w14:paraId="23341341" w14:textId="77777777" w:rsidR="002B5DD0" w:rsidRDefault="00904FEB">
            <w:pPr>
              <w:widowControl w:val="0"/>
              <w:spacing w:before="0" w:after="0" w:line="240" w:lineRule="auto"/>
              <w:jc w:val="right"/>
              <w:rPr>
                <w:rFonts w:ascii="Calibri" w:eastAsia="DengXian" w:hAnsi="Calibri" w:cs="Arial"/>
              </w:rPr>
            </w:pPr>
            <w:r>
              <w:rPr>
                <w:rFonts w:eastAsia="DengXian" w:cs="Arial"/>
              </w:rPr>
              <w:t>5</w:t>
            </w:r>
          </w:p>
        </w:tc>
      </w:tr>
      <w:tr w:rsidR="002B5DD0" w14:paraId="6D356E80" w14:textId="77777777">
        <w:trPr>
          <w:trHeight w:val="241"/>
        </w:trPr>
        <w:tc>
          <w:tcPr>
            <w:tcW w:w="4198" w:type="dxa"/>
          </w:tcPr>
          <w:p w14:paraId="0AECD043" w14:textId="77777777" w:rsidR="002B5DD0" w:rsidRDefault="00904FEB">
            <w:pPr>
              <w:widowControl w:val="0"/>
              <w:spacing w:before="0" w:after="0" w:line="240" w:lineRule="auto"/>
              <w:rPr>
                <w:rFonts w:ascii="Calibri" w:eastAsia="DengXian" w:hAnsi="Calibri" w:cs="Arial"/>
              </w:rPr>
            </w:pPr>
            <w:r>
              <w:rPr>
                <w:rFonts w:eastAsia="DengXian" w:cs="Arial"/>
              </w:rPr>
              <w:t>Bonus Reflection</w:t>
            </w:r>
          </w:p>
        </w:tc>
        <w:tc>
          <w:tcPr>
            <w:tcW w:w="834" w:type="dxa"/>
            <w:vAlign w:val="center"/>
          </w:tcPr>
          <w:p w14:paraId="39FE55FC" w14:textId="77777777" w:rsidR="002B5DD0" w:rsidRDefault="00904FEB">
            <w:pPr>
              <w:widowControl w:val="0"/>
              <w:spacing w:before="0" w:after="0" w:line="240" w:lineRule="auto"/>
              <w:jc w:val="right"/>
              <w:rPr>
                <w:rFonts w:ascii="Calibri" w:eastAsia="DengXian" w:hAnsi="Calibri" w:cs="Arial"/>
              </w:rPr>
            </w:pPr>
            <w:r>
              <w:rPr>
                <w:rFonts w:eastAsia="DengXian" w:cs="Arial"/>
              </w:rPr>
              <w:t>20</w:t>
            </w:r>
          </w:p>
        </w:tc>
      </w:tr>
    </w:tbl>
    <w:p w14:paraId="35DD090E" w14:textId="77777777" w:rsidR="002B5DD0" w:rsidRDefault="002B5DD0">
      <w:pPr>
        <w:spacing w:after="0" w:line="240" w:lineRule="auto"/>
        <w:rPr>
          <w:b/>
        </w:rPr>
      </w:pPr>
    </w:p>
    <w:p w14:paraId="7BB12EEE" w14:textId="77777777" w:rsidR="002B5DD0" w:rsidRDefault="002B5DD0">
      <w:pPr>
        <w:spacing w:after="0" w:line="240" w:lineRule="auto"/>
        <w:rPr>
          <w:b/>
        </w:rPr>
      </w:pPr>
    </w:p>
    <w:p w14:paraId="5762604A" w14:textId="77777777" w:rsidR="002B5DD0" w:rsidRDefault="002B5DD0">
      <w:pPr>
        <w:spacing w:after="0" w:line="240" w:lineRule="auto"/>
        <w:rPr>
          <w:b/>
        </w:rPr>
      </w:pPr>
    </w:p>
    <w:p w14:paraId="7414CC39" w14:textId="77777777" w:rsidR="002B5DD0" w:rsidRDefault="002B5DD0">
      <w:pPr>
        <w:spacing w:after="0" w:line="240" w:lineRule="auto"/>
        <w:rPr>
          <w:b/>
        </w:rPr>
      </w:pPr>
    </w:p>
    <w:tbl>
      <w:tblPr>
        <w:tblStyle w:val="TableGrid"/>
        <w:tblpPr w:leftFromText="180" w:rightFromText="180" w:vertAnchor="text" w:horzAnchor="margin" w:tblpY="-1073"/>
        <w:tblW w:w="2974" w:type="dxa"/>
        <w:tblLayout w:type="fixed"/>
        <w:tblLook w:val="04A0" w:firstRow="1" w:lastRow="0" w:firstColumn="1" w:lastColumn="0" w:noHBand="0" w:noVBand="1"/>
      </w:tblPr>
      <w:tblGrid>
        <w:gridCol w:w="1901"/>
        <w:gridCol w:w="1073"/>
      </w:tblGrid>
      <w:tr w:rsidR="002B5DD0" w14:paraId="4C43CACA" w14:textId="77777777">
        <w:trPr>
          <w:trHeight w:val="309"/>
        </w:trPr>
        <w:tc>
          <w:tcPr>
            <w:tcW w:w="1900" w:type="dxa"/>
          </w:tcPr>
          <w:p w14:paraId="5CEBA2A3" w14:textId="77777777" w:rsidR="002B5DD0" w:rsidRDefault="00904FEB">
            <w:pPr>
              <w:widowControl w:val="0"/>
              <w:spacing w:before="0" w:after="0" w:line="240" w:lineRule="auto"/>
              <w:rPr>
                <w:b/>
              </w:rPr>
            </w:pPr>
            <w:r>
              <w:rPr>
                <w:rFonts w:eastAsia="DengXian" w:cs="Arial"/>
                <w:b/>
              </w:rPr>
              <w:t>Points earned</w:t>
            </w:r>
          </w:p>
        </w:tc>
        <w:tc>
          <w:tcPr>
            <w:tcW w:w="1073" w:type="dxa"/>
          </w:tcPr>
          <w:p w14:paraId="56CB31D6" w14:textId="77777777" w:rsidR="002B5DD0" w:rsidRDefault="00904FEB">
            <w:pPr>
              <w:widowControl w:val="0"/>
              <w:spacing w:before="0" w:after="0" w:line="240" w:lineRule="auto"/>
              <w:rPr>
                <w:b/>
              </w:rPr>
            </w:pPr>
            <w:r>
              <w:rPr>
                <w:rFonts w:eastAsia="DengXian" w:cs="Arial"/>
                <w:b/>
              </w:rPr>
              <w:t>Grade</w:t>
            </w:r>
          </w:p>
        </w:tc>
      </w:tr>
      <w:tr w:rsidR="002B5DD0" w14:paraId="7BF35FC7" w14:textId="77777777">
        <w:trPr>
          <w:trHeight w:val="295"/>
        </w:trPr>
        <w:tc>
          <w:tcPr>
            <w:tcW w:w="1900" w:type="dxa"/>
            <w:vAlign w:val="center"/>
          </w:tcPr>
          <w:p w14:paraId="5FC77E5F" w14:textId="77777777" w:rsidR="002B5DD0" w:rsidRDefault="00904FEB">
            <w:pPr>
              <w:widowControl w:val="0"/>
              <w:spacing w:before="0" w:after="0" w:line="240" w:lineRule="auto"/>
              <w:jc w:val="center"/>
              <w:rPr>
                <w:rFonts w:ascii="Calibri" w:eastAsia="DengXian" w:hAnsi="Calibri" w:cs="Arial"/>
              </w:rPr>
            </w:pPr>
            <w:r>
              <w:rPr>
                <w:rFonts w:eastAsia="DengXian" w:cs="Arial"/>
              </w:rPr>
              <w:t>880-1000</w:t>
            </w:r>
          </w:p>
        </w:tc>
        <w:tc>
          <w:tcPr>
            <w:tcW w:w="1073" w:type="dxa"/>
            <w:vAlign w:val="center"/>
          </w:tcPr>
          <w:p w14:paraId="0347FE4C" w14:textId="77777777" w:rsidR="002B5DD0" w:rsidRDefault="00904FEB">
            <w:pPr>
              <w:widowControl w:val="0"/>
              <w:spacing w:before="0" w:after="0" w:line="240" w:lineRule="auto"/>
              <w:jc w:val="center"/>
              <w:rPr>
                <w:rFonts w:ascii="Calibri" w:eastAsia="DengXian" w:hAnsi="Calibri" w:cs="Arial"/>
              </w:rPr>
            </w:pPr>
            <w:r>
              <w:rPr>
                <w:rFonts w:eastAsia="DengXian" w:cs="Arial"/>
              </w:rPr>
              <w:t>A</w:t>
            </w:r>
          </w:p>
        </w:tc>
      </w:tr>
      <w:tr w:rsidR="002B5DD0" w14:paraId="1DF9DC80" w14:textId="77777777">
        <w:trPr>
          <w:trHeight w:val="309"/>
        </w:trPr>
        <w:tc>
          <w:tcPr>
            <w:tcW w:w="1900" w:type="dxa"/>
            <w:vAlign w:val="center"/>
          </w:tcPr>
          <w:p w14:paraId="42AE6203" w14:textId="77777777" w:rsidR="002B5DD0" w:rsidRDefault="00904FEB">
            <w:pPr>
              <w:widowControl w:val="0"/>
              <w:spacing w:before="0" w:after="0" w:line="240" w:lineRule="auto"/>
              <w:jc w:val="center"/>
              <w:rPr>
                <w:rFonts w:ascii="Calibri" w:eastAsia="DengXian" w:hAnsi="Calibri" w:cs="Arial"/>
              </w:rPr>
            </w:pPr>
            <w:r>
              <w:rPr>
                <w:rFonts w:eastAsia="DengXian" w:cs="Arial"/>
              </w:rPr>
              <w:t>750-879</w:t>
            </w:r>
          </w:p>
        </w:tc>
        <w:tc>
          <w:tcPr>
            <w:tcW w:w="1073" w:type="dxa"/>
            <w:vAlign w:val="center"/>
          </w:tcPr>
          <w:p w14:paraId="36F2DC4A" w14:textId="77777777" w:rsidR="002B5DD0" w:rsidRDefault="00904FEB">
            <w:pPr>
              <w:widowControl w:val="0"/>
              <w:spacing w:before="0" w:after="0" w:line="240" w:lineRule="auto"/>
              <w:jc w:val="center"/>
              <w:rPr>
                <w:rFonts w:ascii="Calibri" w:eastAsia="DengXian" w:hAnsi="Calibri" w:cs="Arial"/>
              </w:rPr>
            </w:pPr>
            <w:r>
              <w:rPr>
                <w:rFonts w:eastAsia="DengXian" w:cs="Arial"/>
              </w:rPr>
              <w:t>B</w:t>
            </w:r>
          </w:p>
        </w:tc>
      </w:tr>
      <w:tr w:rsidR="002B5DD0" w14:paraId="2F15229B" w14:textId="77777777">
        <w:trPr>
          <w:trHeight w:val="309"/>
        </w:trPr>
        <w:tc>
          <w:tcPr>
            <w:tcW w:w="1900" w:type="dxa"/>
            <w:vAlign w:val="center"/>
          </w:tcPr>
          <w:p w14:paraId="158CD745" w14:textId="77777777" w:rsidR="002B5DD0" w:rsidRDefault="00904FEB">
            <w:pPr>
              <w:widowControl w:val="0"/>
              <w:spacing w:before="0" w:after="0" w:line="240" w:lineRule="auto"/>
              <w:jc w:val="center"/>
              <w:rPr>
                <w:rFonts w:ascii="Calibri" w:eastAsia="DengXian" w:hAnsi="Calibri" w:cs="Arial"/>
              </w:rPr>
            </w:pPr>
            <w:r>
              <w:rPr>
                <w:rFonts w:eastAsia="DengXian" w:cs="Arial"/>
              </w:rPr>
              <w:t>620-749</w:t>
            </w:r>
          </w:p>
        </w:tc>
        <w:tc>
          <w:tcPr>
            <w:tcW w:w="1073" w:type="dxa"/>
            <w:vAlign w:val="center"/>
          </w:tcPr>
          <w:p w14:paraId="572B3174" w14:textId="77777777" w:rsidR="002B5DD0" w:rsidRDefault="00904FEB">
            <w:pPr>
              <w:widowControl w:val="0"/>
              <w:spacing w:before="0" w:after="0" w:line="240" w:lineRule="auto"/>
              <w:jc w:val="center"/>
              <w:rPr>
                <w:rFonts w:ascii="Calibri" w:eastAsia="DengXian" w:hAnsi="Calibri" w:cs="Arial"/>
              </w:rPr>
            </w:pPr>
            <w:r>
              <w:rPr>
                <w:rFonts w:eastAsia="DengXian" w:cs="Arial"/>
              </w:rPr>
              <w:t>C</w:t>
            </w:r>
          </w:p>
        </w:tc>
      </w:tr>
      <w:tr w:rsidR="002B5DD0" w14:paraId="436EA5D9" w14:textId="77777777">
        <w:trPr>
          <w:trHeight w:val="295"/>
        </w:trPr>
        <w:tc>
          <w:tcPr>
            <w:tcW w:w="1900" w:type="dxa"/>
            <w:vAlign w:val="center"/>
          </w:tcPr>
          <w:p w14:paraId="58DD6AA0" w14:textId="77777777" w:rsidR="002B5DD0" w:rsidRDefault="00904FEB">
            <w:pPr>
              <w:widowControl w:val="0"/>
              <w:spacing w:before="0" w:after="0" w:line="240" w:lineRule="auto"/>
              <w:jc w:val="center"/>
              <w:rPr>
                <w:rFonts w:ascii="Calibri" w:eastAsia="DengXian" w:hAnsi="Calibri" w:cs="Arial"/>
              </w:rPr>
            </w:pPr>
            <w:r>
              <w:rPr>
                <w:rFonts w:eastAsia="DengXian" w:cs="Arial"/>
              </w:rPr>
              <w:t>500-619</w:t>
            </w:r>
          </w:p>
        </w:tc>
        <w:tc>
          <w:tcPr>
            <w:tcW w:w="1073" w:type="dxa"/>
            <w:vAlign w:val="center"/>
          </w:tcPr>
          <w:p w14:paraId="41505F8E" w14:textId="77777777" w:rsidR="002B5DD0" w:rsidRDefault="00904FEB">
            <w:pPr>
              <w:widowControl w:val="0"/>
              <w:spacing w:before="0" w:after="0" w:line="240" w:lineRule="auto"/>
              <w:jc w:val="center"/>
              <w:rPr>
                <w:rFonts w:ascii="Calibri" w:eastAsia="DengXian" w:hAnsi="Calibri" w:cs="Arial"/>
              </w:rPr>
            </w:pPr>
            <w:r>
              <w:rPr>
                <w:rFonts w:eastAsia="DengXian" w:cs="Arial"/>
              </w:rPr>
              <w:t>D</w:t>
            </w:r>
          </w:p>
        </w:tc>
      </w:tr>
      <w:tr w:rsidR="002B5DD0" w14:paraId="784C8D94" w14:textId="77777777">
        <w:trPr>
          <w:trHeight w:val="309"/>
        </w:trPr>
        <w:tc>
          <w:tcPr>
            <w:tcW w:w="1900" w:type="dxa"/>
            <w:vAlign w:val="center"/>
          </w:tcPr>
          <w:p w14:paraId="06DD58D1" w14:textId="77777777" w:rsidR="002B5DD0" w:rsidRDefault="00904FEB">
            <w:pPr>
              <w:widowControl w:val="0"/>
              <w:spacing w:before="0" w:after="0" w:line="240" w:lineRule="auto"/>
              <w:jc w:val="center"/>
              <w:rPr>
                <w:rFonts w:ascii="Calibri" w:eastAsia="DengXian" w:hAnsi="Calibri" w:cs="Arial"/>
              </w:rPr>
            </w:pPr>
            <w:r>
              <w:rPr>
                <w:rFonts w:eastAsia="DengXian" w:cs="Arial"/>
              </w:rPr>
              <w:t>Below 500</w:t>
            </w:r>
          </w:p>
        </w:tc>
        <w:tc>
          <w:tcPr>
            <w:tcW w:w="1073" w:type="dxa"/>
            <w:vAlign w:val="center"/>
          </w:tcPr>
          <w:p w14:paraId="74A4FB60" w14:textId="77777777" w:rsidR="002B5DD0" w:rsidRDefault="00904FEB">
            <w:pPr>
              <w:widowControl w:val="0"/>
              <w:spacing w:before="0" w:after="0" w:line="240" w:lineRule="auto"/>
              <w:jc w:val="center"/>
              <w:rPr>
                <w:rFonts w:ascii="Calibri" w:eastAsia="DengXian" w:hAnsi="Calibri" w:cs="Arial"/>
              </w:rPr>
            </w:pPr>
            <w:r>
              <w:rPr>
                <w:rFonts w:eastAsia="DengXian" w:cs="Arial"/>
              </w:rPr>
              <w:t>F</w:t>
            </w:r>
          </w:p>
        </w:tc>
      </w:tr>
    </w:tbl>
    <w:p w14:paraId="2BE062C6" w14:textId="77777777" w:rsidR="002B5DD0" w:rsidRDefault="002B5DD0">
      <w:pPr>
        <w:spacing w:after="0" w:line="240" w:lineRule="auto"/>
        <w:rPr>
          <w:b/>
        </w:rPr>
      </w:pPr>
    </w:p>
    <w:p w14:paraId="5A3A1115" w14:textId="77777777" w:rsidR="002B5DD0" w:rsidRDefault="002B5DD0">
      <w:pPr>
        <w:spacing w:after="0" w:line="240" w:lineRule="auto"/>
        <w:rPr>
          <w:b/>
        </w:rPr>
      </w:pPr>
    </w:p>
    <w:p w14:paraId="00AE3397" w14:textId="77777777" w:rsidR="002B5DD0" w:rsidRDefault="002B5DD0">
      <w:pPr>
        <w:spacing w:after="0" w:line="240" w:lineRule="auto"/>
        <w:rPr>
          <w:b/>
        </w:rPr>
      </w:pPr>
    </w:p>
    <w:p w14:paraId="35FDDCFB" w14:textId="77777777" w:rsidR="002B5DD0" w:rsidRDefault="002B5DD0">
      <w:pPr>
        <w:spacing w:after="0" w:line="240" w:lineRule="auto"/>
        <w:rPr>
          <w:b/>
        </w:rPr>
      </w:pPr>
    </w:p>
    <w:p w14:paraId="67135AB4" w14:textId="77777777" w:rsidR="002B5DD0" w:rsidRDefault="00904FEB">
      <w:pPr>
        <w:spacing w:after="0" w:line="240" w:lineRule="auto"/>
        <w:rPr>
          <w:b/>
        </w:rPr>
      </w:pPr>
      <w:r>
        <w:rPr>
          <w:b/>
        </w:rPr>
        <w:t>Preview</w:t>
      </w:r>
    </w:p>
    <w:p w14:paraId="6C8BA8AB" w14:textId="77777777" w:rsidR="002B5DD0" w:rsidRDefault="00904FEB">
      <w:pPr>
        <w:spacing w:after="0" w:line="240" w:lineRule="auto"/>
      </w:pPr>
      <w:r>
        <w:t>There is a Preview assignments</w:t>
      </w:r>
      <w:r>
        <w:t xml:space="preserve"> that is required before you can attempt the weekly Homework Assignments. It is important to work through them to gain the basic understanding needed for the remaining assignments that they go with. It serves as an introduction for new concepts and is comp</w:t>
      </w:r>
      <w:r>
        <w:t>leted in MyMathLab. No credit will be given for late completions.</w:t>
      </w:r>
    </w:p>
    <w:p w14:paraId="44D29CEF" w14:textId="77777777" w:rsidR="002B5DD0" w:rsidRDefault="002B5DD0">
      <w:pPr>
        <w:spacing w:after="0" w:line="240" w:lineRule="auto"/>
      </w:pPr>
    </w:p>
    <w:p w14:paraId="5EDB5D8E" w14:textId="77777777" w:rsidR="002B5DD0" w:rsidRDefault="00904FEB">
      <w:pPr>
        <w:spacing w:after="0" w:line="240" w:lineRule="auto"/>
        <w:rPr>
          <w:b/>
        </w:rPr>
      </w:pPr>
      <w:r>
        <w:rPr>
          <w:b/>
        </w:rPr>
        <w:t>Homework</w:t>
      </w:r>
    </w:p>
    <w:p w14:paraId="20A0FD89" w14:textId="77777777" w:rsidR="002B5DD0" w:rsidRDefault="00904FEB">
      <w:pPr>
        <w:spacing w:after="0" w:line="240" w:lineRule="auto"/>
      </w:pPr>
      <w:r>
        <w:t>The homework exercises are done using a computer program named MyMathLab. Homework assignments must be completed no later than 11:59 PM on the day specified in your course schedule</w:t>
      </w:r>
      <w:r>
        <w:t xml:space="preserve"> to receive full credit. Any work submitted after the deadline will receive half-credit automatically. To work on exercises again after the deadline, you have to go to Review your Work in MyMathLab or it will reduce your score for late work.</w:t>
      </w:r>
    </w:p>
    <w:p w14:paraId="5B2B284A" w14:textId="77777777" w:rsidR="002B5DD0" w:rsidRDefault="002B5DD0">
      <w:pPr>
        <w:spacing w:after="0" w:line="240" w:lineRule="auto"/>
        <w:rPr>
          <w:b/>
        </w:rPr>
      </w:pPr>
    </w:p>
    <w:p w14:paraId="21B58F94" w14:textId="77777777" w:rsidR="002B5DD0" w:rsidRDefault="00904FEB">
      <w:pPr>
        <w:spacing w:after="0" w:line="240" w:lineRule="auto"/>
        <w:rPr>
          <w:b/>
        </w:rPr>
      </w:pPr>
      <w:r>
        <w:rPr>
          <w:b/>
        </w:rPr>
        <w:t>Quizzes</w:t>
      </w:r>
    </w:p>
    <w:p w14:paraId="4D51DB6F" w14:textId="77777777" w:rsidR="002B5DD0" w:rsidRDefault="00904FEB">
      <w:pPr>
        <w:spacing w:after="0" w:line="240" w:lineRule="auto"/>
      </w:pPr>
      <w:r>
        <w:t xml:space="preserve">Like </w:t>
      </w:r>
      <w:r>
        <w:t xml:space="preserve">the homework, quizzes are taken on-line. Each quiz can be taken two times (the highest grade will count). </w:t>
      </w:r>
      <w:r>
        <w:rPr>
          <w:b/>
        </w:rPr>
        <w:t xml:space="preserve">Do not hit the </w:t>
      </w:r>
      <w:r>
        <w:rPr>
          <w:b/>
          <w:i/>
        </w:rPr>
        <w:t>BACK</w:t>
      </w:r>
      <w:r>
        <w:rPr>
          <w:b/>
        </w:rPr>
        <w:t xml:space="preserve"> button on your browser when taking a quiz. </w:t>
      </w:r>
      <w:r>
        <w:t>This will end your quiz and you will not be able to get back into it. If you think your</w:t>
      </w:r>
      <w:r>
        <w:t xml:space="preserve"> computer or network connection is not reliable, you should take your quizzes in the UAB Math Learning Lab (if available)</w:t>
      </w:r>
      <w:r>
        <w:rPr>
          <w:b/>
        </w:rPr>
        <w:t>.</w:t>
      </w:r>
      <w:r>
        <w:t xml:space="preserve"> Quizzes have a 30-minute time limit. They are open-book. </w:t>
      </w:r>
      <w:r>
        <w:rPr>
          <w:b/>
        </w:rPr>
        <w:t xml:space="preserve">Students are strongly advised to not wait until the last minute to complete </w:t>
      </w:r>
      <w:r>
        <w:rPr>
          <w:b/>
        </w:rPr>
        <w:t>homework and quizzes.</w:t>
      </w:r>
      <w:r>
        <w:t xml:space="preserve"> Problems occurring at the last minute are the responsibility of the student</w:t>
      </w:r>
      <w:r>
        <w:rPr>
          <w:b/>
        </w:rPr>
        <w:t xml:space="preserve">. </w:t>
      </w:r>
      <w:r>
        <w:t>Quizzes must be completed no later than 11:59 PM on the day specified in your course schedule to receive full credit. Any work submitted after the deadline w</w:t>
      </w:r>
      <w:r>
        <w:t>ill receive half-credit automatically.</w:t>
      </w:r>
    </w:p>
    <w:p w14:paraId="585C13C7" w14:textId="77777777" w:rsidR="002B5DD0" w:rsidRDefault="002B5DD0">
      <w:pPr>
        <w:spacing w:after="0" w:line="240" w:lineRule="auto"/>
      </w:pPr>
    </w:p>
    <w:p w14:paraId="5F6FAD0E" w14:textId="77777777" w:rsidR="002B5DD0" w:rsidRDefault="00904FEB">
      <w:pPr>
        <w:spacing w:after="0" w:line="240" w:lineRule="auto"/>
      </w:pPr>
      <w:r>
        <w:rPr>
          <w:b/>
        </w:rPr>
        <w:t>Tests/ Final Exam</w:t>
      </w:r>
    </w:p>
    <w:p w14:paraId="5A4EE446" w14:textId="77777777" w:rsidR="002B5DD0" w:rsidRDefault="00904FEB">
      <w:pPr>
        <w:spacing w:after="0" w:line="240" w:lineRule="auto"/>
        <w:rPr>
          <w:b/>
          <w:bCs/>
        </w:rPr>
      </w:pPr>
      <w:r>
        <w:t>There will be four 50-minute tests and a 120-minute final exam. The final exam will be comprehensive. The tests and final exam can all be completed with the computer calculator and formulas on the c</w:t>
      </w:r>
      <w:r>
        <w:t xml:space="preserve">over sheet. The textbook itself cannot be used. You can use StatCrunch or Excel during testing, but no other resources. Students found using anything besides the permitted items during testing will receive a zero on the test and reported to the University </w:t>
      </w:r>
      <w:r>
        <w:t xml:space="preserve">Academic Integrity Office. </w:t>
      </w:r>
      <w:r>
        <w:rPr>
          <w:b/>
          <w:bCs/>
        </w:rPr>
        <w:t xml:space="preserve">All testing will be completed in HHB 202 during lab time on the scheduled days. </w:t>
      </w:r>
    </w:p>
    <w:p w14:paraId="1F984ABE" w14:textId="77777777" w:rsidR="002B5DD0" w:rsidRDefault="002B5DD0">
      <w:pPr>
        <w:spacing w:after="0" w:line="240" w:lineRule="auto"/>
      </w:pPr>
    </w:p>
    <w:p w14:paraId="3078116C" w14:textId="77777777" w:rsidR="002B5DD0" w:rsidRDefault="00904FEB">
      <w:pPr>
        <w:spacing w:after="0" w:line="240" w:lineRule="auto"/>
        <w:rPr>
          <w:b/>
        </w:rPr>
      </w:pPr>
      <w:r>
        <w:rPr>
          <w:b/>
        </w:rPr>
        <w:t>Preparing for Tests</w:t>
      </w:r>
    </w:p>
    <w:p w14:paraId="09413122" w14:textId="77777777" w:rsidR="002B5DD0" w:rsidRDefault="00904FEB">
      <w:pPr>
        <w:spacing w:after="0" w:line="240" w:lineRule="auto"/>
        <w:rPr>
          <w:bCs/>
        </w:rPr>
      </w:pPr>
      <w:r>
        <w:rPr>
          <w:bCs/>
        </w:rPr>
        <w:t>The way you prepare for the tests in the course is by completing all of the assignments in the course. Test questions will be s</w:t>
      </w:r>
      <w:r>
        <w:rPr>
          <w:bCs/>
        </w:rPr>
        <w:t xml:space="preserve">imilar to questions seen in the Homework and Quiz assignments throughout the semester. You should complete these assignments for understanding to ensure the best preparation for the tests. You also have access to Practice Tests that can be used to prepare </w:t>
      </w:r>
      <w:r>
        <w:rPr>
          <w:bCs/>
        </w:rPr>
        <w:t xml:space="preserve">for the test, which will not be for credit. </w:t>
      </w:r>
    </w:p>
    <w:p w14:paraId="2506911D" w14:textId="77777777" w:rsidR="002B5DD0" w:rsidRDefault="002B5DD0">
      <w:pPr>
        <w:spacing w:after="0" w:line="240" w:lineRule="auto"/>
        <w:rPr>
          <w:b/>
        </w:rPr>
      </w:pPr>
    </w:p>
    <w:p w14:paraId="07F9BC03" w14:textId="77777777" w:rsidR="002B5DD0" w:rsidRDefault="002B5DD0">
      <w:pPr>
        <w:spacing w:after="0" w:line="240" w:lineRule="auto"/>
        <w:rPr>
          <w:b/>
        </w:rPr>
      </w:pPr>
    </w:p>
    <w:p w14:paraId="12AE7497" w14:textId="77777777" w:rsidR="002B5DD0" w:rsidRDefault="002B5DD0">
      <w:pPr>
        <w:spacing w:after="0" w:line="240" w:lineRule="auto"/>
        <w:rPr>
          <w:b/>
        </w:rPr>
      </w:pPr>
    </w:p>
    <w:p w14:paraId="49BB92DB" w14:textId="77777777" w:rsidR="002B5DD0" w:rsidRDefault="00904FEB">
      <w:pPr>
        <w:spacing w:after="0" w:line="240" w:lineRule="auto"/>
        <w:rPr>
          <w:b/>
        </w:rPr>
      </w:pPr>
      <w:r>
        <w:rPr>
          <w:b/>
        </w:rPr>
        <w:t>Make-ups</w:t>
      </w:r>
    </w:p>
    <w:p w14:paraId="3BFDB8C5" w14:textId="77777777" w:rsidR="002B5DD0" w:rsidRDefault="00904FEB">
      <w:pPr>
        <w:spacing w:after="0" w:line="240" w:lineRule="auto"/>
      </w:pPr>
      <w:r>
        <w:t xml:space="preserve">There are no make-ups for missed homework and quiz assignments. This is because they can and </w:t>
      </w:r>
      <w:r>
        <w:rPr>
          <w:b/>
        </w:rPr>
        <w:t>should be completed ahead of time.</w:t>
      </w:r>
      <w:r>
        <w:t xml:space="preserve"> However, you can complete the homework and quiz late for half credit.</w:t>
      </w:r>
    </w:p>
    <w:p w14:paraId="0FA635E9" w14:textId="77777777" w:rsidR="002B5DD0" w:rsidRDefault="00904FEB">
      <w:pPr>
        <w:pStyle w:val="ListParagraph"/>
        <w:numPr>
          <w:ilvl w:val="0"/>
          <w:numId w:val="4"/>
        </w:numPr>
        <w:rPr>
          <w:color w:val="000000"/>
          <w:lang w:eastAsia="zh-CN"/>
        </w:rPr>
      </w:pPr>
      <w:r>
        <w:rPr>
          <w:b/>
          <w:bCs/>
          <w:color w:val="000000"/>
        </w:rPr>
        <w:t>I</w:t>
      </w:r>
      <w:r>
        <w:rPr>
          <w:b/>
          <w:bCs/>
          <w:color w:val="000000"/>
        </w:rPr>
        <w:t>f a student misses 1 test</w:t>
      </w:r>
      <w:r>
        <w:rPr>
          <w:color w:val="000000"/>
        </w:rPr>
        <w:t> (not including the Final Exam), the Final Exam grade will be used to replace the missed test grade if the student formally makes a request to do so. The student must complete a </w:t>
      </w:r>
      <w:r>
        <w:rPr>
          <w:b/>
          <w:bCs/>
          <w:color w:val="000000"/>
        </w:rPr>
        <w:t>Replacement Test Grade</w:t>
      </w:r>
      <w:r>
        <w:rPr>
          <w:color w:val="000000"/>
        </w:rPr>
        <w:t xml:space="preserve"> form no later than 12:00pm on </w:t>
      </w:r>
      <w:r>
        <w:rPr>
          <w:color w:val="000000"/>
        </w:rPr>
        <w:t>the last day of classes at UH 4005. </w:t>
      </w:r>
      <w:r>
        <w:rPr>
          <w:b/>
          <w:bCs/>
          <w:i/>
          <w:iCs/>
          <w:color w:val="000000"/>
        </w:rPr>
        <w:t>Note that only one missed test grade may be replaced with the Final Exam grade.   All students are expected to take the Final Exam.</w:t>
      </w:r>
    </w:p>
    <w:p w14:paraId="766EE509" w14:textId="77777777" w:rsidR="002B5DD0" w:rsidRDefault="00904FEB">
      <w:pPr>
        <w:numPr>
          <w:ilvl w:val="0"/>
          <w:numId w:val="3"/>
        </w:numPr>
        <w:spacing w:before="0" w:after="0" w:line="240" w:lineRule="auto"/>
        <w:rPr>
          <w:u w:val="single"/>
        </w:rPr>
      </w:pPr>
      <w:r>
        <w:rPr>
          <w:i/>
          <w:iCs/>
          <w:color w:val="000000"/>
        </w:rPr>
        <w:t xml:space="preserve">A student missing a test due to university related business or government mandated </w:t>
      </w:r>
      <w:r>
        <w:rPr>
          <w:i/>
          <w:iCs/>
          <w:color w:val="000000"/>
        </w:rPr>
        <w:t>activities is required to notify the instructor </w:t>
      </w:r>
      <w:r>
        <w:rPr>
          <w:b/>
          <w:bCs/>
          <w:i/>
          <w:iCs/>
          <w:color w:val="000000"/>
        </w:rPr>
        <w:t>no later than one week prior to the missed test date in order to be able to take the test prior to the scheduled test date.   </w:t>
      </w:r>
      <w:r>
        <w:rPr>
          <w:i/>
          <w:iCs/>
          <w:color w:val="000000"/>
        </w:rPr>
        <w:t>If a student does not communicate with the instructor one week prior to the missed</w:t>
      </w:r>
      <w:r>
        <w:rPr>
          <w:i/>
          <w:iCs/>
          <w:color w:val="000000"/>
        </w:rPr>
        <w:t xml:space="preserve"> test date, the student will be required to use the Final Exam grade to replace the missed test grade.</w:t>
      </w:r>
    </w:p>
    <w:p w14:paraId="17558FB8" w14:textId="77777777" w:rsidR="002B5DD0" w:rsidRDefault="002B5DD0">
      <w:pPr>
        <w:spacing w:after="0" w:line="240" w:lineRule="auto"/>
        <w:rPr>
          <w:b/>
        </w:rPr>
      </w:pPr>
    </w:p>
    <w:p w14:paraId="48774CA7" w14:textId="77777777" w:rsidR="002B5DD0" w:rsidRDefault="00904FEB">
      <w:pPr>
        <w:spacing w:after="0" w:line="240" w:lineRule="auto"/>
        <w:rPr>
          <w:b/>
        </w:rPr>
      </w:pPr>
      <w:r>
        <w:rPr>
          <w:b/>
        </w:rPr>
        <w:t>Problems</w:t>
      </w:r>
    </w:p>
    <w:p w14:paraId="23C46F19" w14:textId="77777777" w:rsidR="002B5DD0" w:rsidRDefault="00904FEB">
      <w:r>
        <w:t>Weekly group problems will be completed during the assigned lab days in HHB 202 as can be seen on the schedule. Each student is accountable for</w:t>
      </w:r>
      <w:r>
        <w:t xml:space="preserve"> their individual submission and answers should not be copied from members of the group. Once you have completed your problem, you can use the remainder of the lab time to work on your homework and ask questions.</w:t>
      </w:r>
    </w:p>
    <w:p w14:paraId="41E6D00C" w14:textId="77777777" w:rsidR="002B5DD0" w:rsidRDefault="00904FEB">
      <w:pPr>
        <w:spacing w:after="0" w:line="240" w:lineRule="auto"/>
        <w:rPr>
          <w:b/>
        </w:rPr>
      </w:pPr>
      <w:r>
        <w:rPr>
          <w:b/>
        </w:rPr>
        <w:t>Syllabus Quiz</w:t>
      </w:r>
    </w:p>
    <w:p w14:paraId="4EC83E84" w14:textId="77777777" w:rsidR="002B5DD0" w:rsidRDefault="00904FEB">
      <w:pPr>
        <w:spacing w:after="0" w:line="240" w:lineRule="auto"/>
        <w:rPr>
          <w:bCs/>
        </w:rPr>
      </w:pPr>
      <w:r>
        <w:rPr>
          <w:bCs/>
        </w:rPr>
        <w:t>The Syllabus Quiz will be com</w:t>
      </w:r>
      <w:r>
        <w:rPr>
          <w:bCs/>
        </w:rPr>
        <w:t xml:space="preserve">pleted to ensure that you have read and understand the contents of this document. It will contain important aspects of the course and its structure. By completing it, you certify that you have read and understand the syllabus. </w:t>
      </w:r>
    </w:p>
    <w:p w14:paraId="731325D7" w14:textId="77777777" w:rsidR="002B5DD0" w:rsidRDefault="002B5DD0">
      <w:pPr>
        <w:spacing w:after="0" w:line="240" w:lineRule="auto"/>
        <w:rPr>
          <w:bCs/>
        </w:rPr>
      </w:pPr>
    </w:p>
    <w:p w14:paraId="409FABC8" w14:textId="77777777" w:rsidR="002B5DD0" w:rsidRDefault="00904FEB">
      <w:pPr>
        <w:spacing w:after="0" w:line="240" w:lineRule="auto"/>
        <w:rPr>
          <w:b/>
        </w:rPr>
      </w:pPr>
      <w:r>
        <w:rPr>
          <w:b/>
        </w:rPr>
        <w:t>Bonus Points</w:t>
      </w:r>
    </w:p>
    <w:p w14:paraId="488DE91A" w14:textId="77777777" w:rsidR="002B5DD0" w:rsidRDefault="00904FEB">
      <w:pPr>
        <w:spacing w:after="0" w:line="240" w:lineRule="auto"/>
      </w:pPr>
      <w:r>
        <w:t xml:space="preserve">There will be </w:t>
      </w:r>
      <w:r>
        <w:t>an opportunity at the end of the semester for you to complete an assignment for up to 20 Bonus Points. The assignment will be submitted in Canvas. You can also earn up to 5 points on the Syllabus Quiz.</w:t>
      </w:r>
    </w:p>
    <w:p w14:paraId="0734754C" w14:textId="77777777" w:rsidR="002B5DD0" w:rsidRDefault="002B5DD0">
      <w:pPr>
        <w:spacing w:after="0" w:line="240" w:lineRule="auto"/>
      </w:pPr>
    </w:p>
    <w:p w14:paraId="028498D7" w14:textId="77777777" w:rsidR="002B5DD0" w:rsidRDefault="002B5DD0">
      <w:pPr>
        <w:spacing w:after="0" w:line="240" w:lineRule="auto"/>
      </w:pPr>
    </w:p>
    <w:p w14:paraId="33E8145F" w14:textId="77777777" w:rsidR="002B5DD0" w:rsidRDefault="00904FEB">
      <w:pPr>
        <w:pStyle w:val="Heading1"/>
      </w:pPr>
      <w:r>
        <w:t>course policies</w:t>
      </w:r>
    </w:p>
    <w:p w14:paraId="6962570E" w14:textId="77777777" w:rsidR="002B5DD0" w:rsidRDefault="00904FEB">
      <w:pPr>
        <w:spacing w:after="0" w:line="240" w:lineRule="auto"/>
        <w:rPr>
          <w:b/>
        </w:rPr>
      </w:pPr>
      <w:r>
        <w:rPr>
          <w:b/>
        </w:rPr>
        <w:t>Cell phones and other electronics</w:t>
      </w:r>
    </w:p>
    <w:p w14:paraId="7CB29D0F" w14:textId="77777777" w:rsidR="002B5DD0" w:rsidRDefault="00904FEB">
      <w:pPr>
        <w:spacing w:after="0" w:line="240" w:lineRule="auto"/>
      </w:pPr>
      <w:r>
        <w:t>Al</w:t>
      </w:r>
      <w:r>
        <w:t>l cell phones, tablets, and other electronic devices must be turned off and put away during testing. Violations will result in penalties determined by the director of Pre-Calculus Curriculum and can result in a grade of F in the course.</w:t>
      </w:r>
    </w:p>
    <w:p w14:paraId="6B4034A5" w14:textId="77777777" w:rsidR="002B5DD0" w:rsidRDefault="002B5DD0">
      <w:pPr>
        <w:spacing w:after="0" w:line="240" w:lineRule="auto"/>
        <w:rPr>
          <w:b/>
        </w:rPr>
      </w:pPr>
    </w:p>
    <w:p w14:paraId="193082DF" w14:textId="77777777" w:rsidR="002B5DD0" w:rsidRDefault="00904FEB">
      <w:pPr>
        <w:spacing w:after="0" w:line="240" w:lineRule="auto"/>
        <w:rPr>
          <w:b/>
        </w:rPr>
      </w:pPr>
      <w:r>
        <w:rPr>
          <w:b/>
        </w:rPr>
        <w:t>Grade Review</w:t>
      </w:r>
    </w:p>
    <w:p w14:paraId="75197243" w14:textId="77777777" w:rsidR="002B5DD0" w:rsidRDefault="00904FEB">
      <w:pPr>
        <w:spacing w:after="0" w:line="240" w:lineRule="auto"/>
      </w:pPr>
      <w:r>
        <w:t>Offic</w:t>
      </w:r>
      <w:r>
        <w:t xml:space="preserve">ial student grades are maintained in the Math Department grade database (a.k.a. MADDIE). To access your grade record, go to </w:t>
      </w:r>
      <w:hyperlink r:id="rId6">
        <w:r>
          <w:rPr>
            <w:rStyle w:val="Hyperlink"/>
          </w:rPr>
          <w:t>www.uab.edu/mathematics</w:t>
        </w:r>
      </w:hyperlink>
      <w:r>
        <w:t xml:space="preserve">  and click on </w:t>
      </w:r>
      <w:r>
        <w:rPr>
          <w:i/>
        </w:rPr>
        <w:t>Student Resources</w:t>
      </w:r>
      <w:r>
        <w:t xml:space="preserve"> then </w:t>
      </w:r>
      <w:r>
        <w:rPr>
          <w:i/>
        </w:rPr>
        <w:t>Check grades</w:t>
      </w:r>
      <w:r>
        <w:t>. You wil</w:t>
      </w:r>
      <w:r>
        <w:t xml:space="preserve">l need to enter your BlazerID and password. You can also access it through Canvas under </w:t>
      </w:r>
      <w:r>
        <w:rPr>
          <w:i/>
        </w:rPr>
        <w:t>UAB Grade for MA 180/418</w:t>
      </w:r>
      <w:r>
        <w:t>.</w:t>
      </w:r>
    </w:p>
    <w:p w14:paraId="6C415897" w14:textId="77777777" w:rsidR="002B5DD0" w:rsidRDefault="00904FEB">
      <w:pPr>
        <w:spacing w:after="0" w:line="240" w:lineRule="auto"/>
      </w:pPr>
      <w:r>
        <w:t xml:space="preserve">Students are asked to review all grades for accuracy immediately after they are posted. </w:t>
      </w:r>
      <w:r>
        <w:rPr>
          <w:b/>
        </w:rPr>
        <w:t xml:space="preserve">All questions involving homework grades, quiz grades, </w:t>
      </w:r>
      <w:r>
        <w:rPr>
          <w:b/>
        </w:rPr>
        <w:t>test grades and participation points must be resolved before the final exam.</w:t>
      </w:r>
      <w:r>
        <w:t xml:space="preserve"> Once the final exam is taken the course is complete, and no further review of in-term grades is permitted.</w:t>
      </w:r>
    </w:p>
    <w:p w14:paraId="21F09A8F" w14:textId="77777777" w:rsidR="002B5DD0" w:rsidRDefault="002B5DD0">
      <w:pPr>
        <w:spacing w:after="0" w:line="240" w:lineRule="auto"/>
        <w:rPr>
          <w:b/>
        </w:rPr>
      </w:pPr>
    </w:p>
    <w:p w14:paraId="2666239D" w14:textId="77777777" w:rsidR="002B5DD0" w:rsidRDefault="00904FEB">
      <w:pPr>
        <w:spacing w:after="0" w:line="240" w:lineRule="auto"/>
        <w:rPr>
          <w:b/>
        </w:rPr>
      </w:pPr>
      <w:r>
        <w:rPr>
          <w:b/>
        </w:rPr>
        <w:t>Tutoring</w:t>
      </w:r>
    </w:p>
    <w:p w14:paraId="3770F256" w14:textId="77777777" w:rsidR="002B5DD0" w:rsidRDefault="00904FEB">
      <w:pPr>
        <w:spacing w:after="0" w:line="240" w:lineRule="auto"/>
        <w:rPr>
          <w:b/>
        </w:rPr>
      </w:pPr>
      <w:r>
        <w:t xml:space="preserve">Please visit Resources on the Math Department website and see </w:t>
      </w:r>
      <w:r>
        <w:t xml:space="preserve">the times for MA 180 at </w:t>
      </w:r>
      <w:hyperlink r:id="rId7">
        <w:r>
          <w:rPr>
            <w:rStyle w:val="Hyperlink"/>
          </w:rPr>
          <w:t>https://www.uab.edu/cas/mathematics/resources</w:t>
        </w:r>
      </w:hyperlink>
      <w:r>
        <w:t xml:space="preserve"> . Tutoring will be available except for holidays and Final Exam week.</w:t>
      </w:r>
    </w:p>
    <w:p w14:paraId="030D9ED8" w14:textId="77777777" w:rsidR="002B5DD0" w:rsidRDefault="002B5DD0">
      <w:pPr>
        <w:spacing w:after="0" w:line="240" w:lineRule="auto"/>
        <w:rPr>
          <w:b/>
        </w:rPr>
      </w:pPr>
    </w:p>
    <w:p w14:paraId="3C937087" w14:textId="77777777" w:rsidR="002B5DD0" w:rsidRDefault="00904FEB">
      <w:pPr>
        <w:spacing w:after="0" w:line="240" w:lineRule="auto"/>
        <w:rPr>
          <w:b/>
        </w:rPr>
      </w:pPr>
      <w:r>
        <w:rPr>
          <w:b/>
        </w:rPr>
        <w:t>Email</w:t>
      </w:r>
    </w:p>
    <w:p w14:paraId="7F50BD63" w14:textId="77777777" w:rsidR="002B5DD0" w:rsidRDefault="00904FEB">
      <w:pPr>
        <w:spacing w:after="0" w:line="240" w:lineRule="auto"/>
      </w:pPr>
      <w:r>
        <w:t>Information about the course (changes to ass</w:t>
      </w:r>
      <w:r>
        <w:t xml:space="preserve">ignments, reminders, schedules, etc.) will be distributed to students using their </w:t>
      </w:r>
      <w:r>
        <w:rPr>
          <w:color w:val="0000FF"/>
          <w:u w:val="single"/>
        </w:rPr>
        <w:t>BlazerID</w:t>
      </w:r>
      <w:r>
        <w:t xml:space="preserve"> email address or Canvas. Each student is required to access their UAB email account daily, as these communications represent official university business. This is a </w:t>
      </w:r>
      <w:r>
        <w:t xml:space="preserve">requirement for all UAB students. For UAB email account assistance, send an email to </w:t>
      </w:r>
      <w:hyperlink r:id="rId8">
        <w:r>
          <w:rPr>
            <w:rStyle w:val="Hyperlink"/>
          </w:rPr>
          <w:t>userservices@uab.edu</w:t>
        </w:r>
      </w:hyperlink>
      <w:r>
        <w:t>, or call 934-3540.</w:t>
      </w:r>
    </w:p>
    <w:p w14:paraId="577E87B5" w14:textId="77777777" w:rsidR="002B5DD0" w:rsidRDefault="002B5DD0">
      <w:pPr>
        <w:spacing w:after="0" w:line="240" w:lineRule="auto"/>
        <w:rPr>
          <w:b/>
        </w:rPr>
      </w:pPr>
    </w:p>
    <w:p w14:paraId="2C2917A0" w14:textId="77777777" w:rsidR="002B5DD0" w:rsidRDefault="00904FEB">
      <w:pPr>
        <w:spacing w:before="0" w:after="0" w:line="240" w:lineRule="auto"/>
        <w:rPr>
          <w:rFonts w:eastAsia="Times New Roman" w:cstheme="minorHAnsi"/>
          <w:b/>
          <w:bCs/>
          <w:lang w:eastAsia="zh-CN"/>
        </w:rPr>
      </w:pPr>
      <w:r>
        <w:rPr>
          <w:rFonts w:eastAsia="Times New Roman" w:cstheme="minorHAnsi"/>
          <w:b/>
          <w:bCs/>
          <w:lang w:eastAsia="zh-CN"/>
        </w:rPr>
        <w:t xml:space="preserve">Extended Absences </w:t>
      </w:r>
    </w:p>
    <w:p w14:paraId="3F7C2C0B" w14:textId="77777777" w:rsidR="002B5DD0" w:rsidRDefault="00904FEB">
      <w:pPr>
        <w:spacing w:before="0" w:after="0" w:line="240" w:lineRule="auto"/>
        <w:rPr>
          <w:rFonts w:eastAsia="Times New Roman" w:cstheme="minorHAnsi"/>
          <w:lang w:eastAsia="zh-CN"/>
        </w:rPr>
      </w:pPr>
      <w:r>
        <w:rPr>
          <w:rFonts w:eastAsia="Times New Roman" w:cstheme="minorHAnsi"/>
          <w:lang w:eastAsia="zh-CN"/>
        </w:rPr>
        <w:t>Attendance is fundamental to course objectives and to the integrity of this course. Courses in the Mathematics Department require a variety of activities that involve interaction with the instructor and/or interaction with other students. Excessive absence</w:t>
      </w:r>
      <w:r>
        <w:rPr>
          <w:rFonts w:eastAsia="Times New Roman" w:cstheme="minorHAnsi"/>
          <w:lang w:eastAsia="zh-CN"/>
        </w:rPr>
        <w:t>s and missed assignments (more than 2 weeks) seriously jeopardize a student’s ability to successfully complete the course. In the event of excessive absences, students should be prepared to officially withdraw from the course through the Registrar’s Office</w:t>
      </w:r>
      <w:r>
        <w:rPr>
          <w:rFonts w:eastAsia="Times New Roman" w:cstheme="minorHAnsi"/>
          <w:lang w:eastAsia="zh-CN"/>
        </w:rPr>
        <w:t>. In cases involving medical hardships, military duty, or other serious personal situations after the withdrawal date for a course, the student may participate in the Academic Policy Appeal (accessed and submitted through Blazernet Links/Forms).</w:t>
      </w:r>
    </w:p>
    <w:p w14:paraId="19B27073" w14:textId="77777777" w:rsidR="002B5DD0" w:rsidRDefault="002B5DD0">
      <w:pPr>
        <w:spacing w:after="0" w:line="240" w:lineRule="auto"/>
        <w:rPr>
          <w:b/>
        </w:rPr>
      </w:pPr>
    </w:p>
    <w:p w14:paraId="6D90A612" w14:textId="77777777" w:rsidR="002B5DD0" w:rsidRDefault="00904FEB">
      <w:pPr>
        <w:spacing w:after="0" w:line="240" w:lineRule="auto"/>
        <w:rPr>
          <w:b/>
        </w:rPr>
      </w:pPr>
      <w:r>
        <w:rPr>
          <w:b/>
        </w:rPr>
        <w:t>Disabilit</w:t>
      </w:r>
      <w:r>
        <w:rPr>
          <w:b/>
        </w:rPr>
        <w:t>y support Services (DSS)</w:t>
      </w:r>
    </w:p>
    <w:p w14:paraId="613FE684" w14:textId="77777777" w:rsidR="002B5DD0" w:rsidRDefault="00904FEB">
      <w:pPr>
        <w:spacing w:after="0" w:line="240" w:lineRule="auto"/>
      </w:pPr>
      <w:r>
        <w:t xml:space="preserve">UAB is committed to providing an accessible learning experience for all students. If you are a student with a disability that qualifies under Americans with Disabilities Act (ADA) and Section 504 of the Rehabilitation Act, and you </w:t>
      </w:r>
      <w:r>
        <w:t>require accommodations, please contact Disability Support Services for information on accommodations, registration and procedures. If you are registered with Disability Support Services, please contact DSS to discuss accommodations that may be necessary in</w:t>
      </w:r>
      <w:r>
        <w:t xml:space="preserve"> this course. Disability Support Services can be reached at 934-4205 or www.uab.edu/dss or in the Hill Center Suite 409.</w:t>
      </w:r>
    </w:p>
    <w:p w14:paraId="6B7B3808" w14:textId="77777777" w:rsidR="002B5DD0" w:rsidRDefault="002B5DD0">
      <w:pPr>
        <w:spacing w:after="0" w:line="240" w:lineRule="auto"/>
        <w:rPr>
          <w:b/>
        </w:rPr>
      </w:pPr>
    </w:p>
    <w:p w14:paraId="71218230" w14:textId="77777777" w:rsidR="002B5DD0" w:rsidRDefault="00904FEB">
      <w:pPr>
        <w:spacing w:after="0" w:line="240" w:lineRule="auto"/>
        <w:rPr>
          <w:b/>
        </w:rPr>
      </w:pPr>
      <w:r>
        <w:rPr>
          <w:b/>
        </w:rPr>
        <w:t xml:space="preserve">Title IX Statement </w:t>
      </w:r>
    </w:p>
    <w:p w14:paraId="2D8C723C" w14:textId="77777777" w:rsidR="002B5DD0" w:rsidRDefault="00904FEB">
      <w:pPr>
        <w:spacing w:after="0" w:line="240" w:lineRule="auto"/>
        <w:rPr>
          <w:color w:val="000000"/>
        </w:rPr>
      </w:pPr>
      <w:r>
        <w:t>UAB is committed to providing an environment that is free from sexual misconduct, which includes gender-based assa</w:t>
      </w:r>
      <w:r>
        <w:t xml:space="preserve">ult, harassment, exploitation, dating and domestic violence, stalking, as well as discrimination based on sex, sexual orientation, gender identity, and gender expression. If you have experienced any of the aforementioned conduct we encourage you to report </w:t>
      </w:r>
      <w:r>
        <w:t>the incident. For more information about Title IX, policy, reporting, protections, resources and supports, please visit http://www.uab.edu/titleix for UAB’s Title IX Policy, UAB’s Equal Opportunity, Anti Harassment Policy and Duty to Report and Non-Retalia</w:t>
      </w:r>
      <w:r>
        <w:t xml:space="preserve">tion Policy. </w:t>
      </w:r>
      <w:r>
        <w:rPr>
          <w:color w:val="000000"/>
        </w:rPr>
        <w:t xml:space="preserve"> </w:t>
      </w:r>
    </w:p>
    <w:p w14:paraId="000738F3" w14:textId="77777777" w:rsidR="002B5DD0" w:rsidRDefault="002B5DD0">
      <w:pPr>
        <w:spacing w:after="0" w:line="240" w:lineRule="auto"/>
        <w:rPr>
          <w:b/>
          <w:sz w:val="22"/>
          <w:szCs w:val="22"/>
        </w:rPr>
      </w:pPr>
    </w:p>
    <w:p w14:paraId="30206AE4" w14:textId="77777777" w:rsidR="002B5DD0" w:rsidRDefault="00904FEB">
      <w:pPr>
        <w:spacing w:after="0" w:line="240" w:lineRule="auto"/>
        <w:rPr>
          <w:rFonts w:cstheme="minorHAnsi"/>
          <w:b/>
        </w:rPr>
      </w:pPr>
      <w:r>
        <w:rPr>
          <w:rFonts w:cstheme="minorHAnsi"/>
          <w:b/>
        </w:rPr>
        <w:t xml:space="preserve">Academic Misconduct </w:t>
      </w:r>
    </w:p>
    <w:p w14:paraId="66B17189" w14:textId="77777777" w:rsidR="002B5DD0" w:rsidRDefault="00904FEB">
      <w:pPr>
        <w:pStyle w:val="NoSpacing"/>
        <w:rPr>
          <w:rFonts w:cstheme="minorHAnsi"/>
        </w:rPr>
      </w:pPr>
      <w:r>
        <w:rPr>
          <w:rFonts w:cstheme="minorHAnsi"/>
          <w:color w:val="000000"/>
        </w:rPr>
        <w:t xml:space="preserve">UAB Faculty expects all members of its academic community to function according to the highest ethical and professional standards. </w:t>
      </w:r>
      <w:r>
        <w:rPr>
          <w:rFonts w:cstheme="minorHAnsi"/>
        </w:rPr>
        <w:t xml:space="preserve">You are expected to be aware of, and rigorously adhere to, the UAB code of conduct with </w:t>
      </w:r>
      <w:r>
        <w:rPr>
          <w:rFonts w:cstheme="minorHAnsi"/>
        </w:rPr>
        <w:t>regard to academic honesty and inter-personal relations.</w:t>
      </w:r>
    </w:p>
    <w:p w14:paraId="405D91E6" w14:textId="77777777" w:rsidR="002B5DD0" w:rsidRDefault="00904FEB">
      <w:pPr>
        <w:spacing w:after="0" w:line="240" w:lineRule="auto"/>
        <w:rPr>
          <w:rFonts w:cstheme="minorHAnsi"/>
          <w:i/>
          <w:color w:val="000000"/>
        </w:rPr>
      </w:pPr>
      <w:r>
        <w:rPr>
          <w:rFonts w:cstheme="minorHAnsi"/>
          <w:color w:val="000000"/>
        </w:rPr>
        <w:t xml:space="preserve">Academic dishonesty and misconduct includes, but is not limited to, acts of abetting, cheating, plagiarism, copying homework, fabrication, and misrepresentation. Candidates are expected to honor the </w:t>
      </w:r>
      <w:r>
        <w:rPr>
          <w:rFonts w:cstheme="minorHAnsi"/>
          <w:color w:val="000000"/>
        </w:rPr>
        <w:t xml:space="preserve">UAB Academic Code of Conduct as detailed in the most current </w:t>
      </w:r>
      <w:r>
        <w:rPr>
          <w:rFonts w:cstheme="minorHAnsi"/>
          <w:i/>
          <w:color w:val="000000"/>
        </w:rPr>
        <w:t>UAB Student Catalog.</w:t>
      </w:r>
    </w:p>
    <w:p w14:paraId="60B30B6E" w14:textId="77777777" w:rsidR="002B5DD0" w:rsidRDefault="002B5DD0">
      <w:pPr>
        <w:spacing w:after="0" w:line="240" w:lineRule="auto"/>
        <w:rPr>
          <w:i/>
          <w:color w:val="000000"/>
          <w:sz w:val="22"/>
          <w:szCs w:val="22"/>
        </w:rPr>
      </w:pPr>
    </w:p>
    <w:p w14:paraId="4FCA63DC" w14:textId="77777777" w:rsidR="002B5DD0" w:rsidRDefault="002B5DD0">
      <w:pPr>
        <w:spacing w:after="0" w:line="240" w:lineRule="auto"/>
        <w:rPr>
          <w:b/>
          <w:iCs/>
          <w:color w:val="000000"/>
        </w:rPr>
      </w:pPr>
    </w:p>
    <w:p w14:paraId="2265D427" w14:textId="77777777" w:rsidR="002B5DD0" w:rsidRDefault="00904FEB">
      <w:pPr>
        <w:spacing w:after="0" w:line="240" w:lineRule="auto"/>
        <w:rPr>
          <w:b/>
          <w:iCs/>
          <w:color w:val="000000"/>
        </w:rPr>
      </w:pPr>
      <w:r>
        <w:rPr>
          <w:b/>
          <w:iCs/>
          <w:color w:val="000000"/>
        </w:rPr>
        <w:t>Add/Drop and Course Withdrawal</w:t>
      </w:r>
    </w:p>
    <w:p w14:paraId="37889EDB" w14:textId="77777777" w:rsidR="002B5DD0" w:rsidRDefault="00904FEB">
      <w:pPr>
        <w:spacing w:after="0" w:line="240" w:lineRule="auto"/>
        <w:rPr>
          <w:iCs/>
          <w:color w:val="000000"/>
        </w:rPr>
      </w:pPr>
      <w:r>
        <w:rPr>
          <w:bCs/>
          <w:iCs/>
          <w:color w:val="000000"/>
        </w:rPr>
        <w:t>Drop/Add</w:t>
      </w:r>
      <w:r>
        <w:rPr>
          <w:b/>
          <w:bCs/>
          <w:iCs/>
          <w:color w:val="000000"/>
        </w:rPr>
        <w:t xml:space="preserve">: </w:t>
      </w:r>
      <w:r>
        <w:rPr>
          <w:iCs/>
          <w:color w:val="000000"/>
        </w:rPr>
        <w:t xml:space="preserve">Deadlines for adding, dropping, or withdrawing from a course and for paying tuition are published in the </w:t>
      </w:r>
      <w:hyperlink r:id="rId9">
        <w:r>
          <w:rPr>
            <w:rStyle w:val="Hyperlink"/>
            <w:iCs/>
          </w:rPr>
          <w:t>Academic Calendar</w:t>
        </w:r>
      </w:hyperlink>
      <w:r>
        <w:rPr>
          <w:iCs/>
          <w:color w:val="000000"/>
        </w:rPr>
        <w:t xml:space="preserve"> available online. Review the </w:t>
      </w:r>
      <w:hyperlink r:id="rId10">
        <w:r>
          <w:rPr>
            <w:rStyle w:val="Hyperlink"/>
            <w:iCs/>
          </w:rPr>
          <w:t>Institutional Refund Policy</w:t>
        </w:r>
      </w:hyperlink>
      <w:r>
        <w:rPr>
          <w:iCs/>
          <w:color w:val="000000"/>
        </w:rPr>
        <w:t xml:space="preserve"> for information on refunds for dropped courses. </w:t>
      </w:r>
    </w:p>
    <w:p w14:paraId="0F43045D" w14:textId="77777777" w:rsidR="002B5DD0" w:rsidRDefault="00904FEB">
      <w:pPr>
        <w:spacing w:after="0" w:line="240" w:lineRule="auto"/>
        <w:rPr>
          <w:b/>
          <w:bCs/>
          <w:iCs/>
          <w:color w:val="000000"/>
        </w:rPr>
      </w:pPr>
      <w:r>
        <w:rPr>
          <w:bCs/>
          <w:iCs/>
          <w:color w:val="000000"/>
        </w:rPr>
        <w:t>Withdrawal</w:t>
      </w:r>
      <w:r>
        <w:rPr>
          <w:b/>
          <w:bCs/>
          <w:iCs/>
          <w:color w:val="000000"/>
        </w:rPr>
        <w:t xml:space="preserve">: </w:t>
      </w:r>
      <w:r>
        <w:rPr>
          <w:iCs/>
          <w:color w:val="000000"/>
        </w:rPr>
        <w:t xml:space="preserve">To avoid academic penalty, a student must withdraw from a course by the withdrawal deadline shown in the academic calendar and receive a grade of W (withdrawn). Failure to attend class does not </w:t>
      </w:r>
      <w:r>
        <w:rPr>
          <w:iCs/>
          <w:color w:val="000000"/>
        </w:rPr>
        <w:t>constitute a formal drop or withdrawal.</w:t>
      </w:r>
      <w:r>
        <w:rPr>
          <w:b/>
          <w:bCs/>
          <w:iCs/>
          <w:color w:val="000000"/>
        </w:rPr>
        <w:t xml:space="preserve"> </w:t>
      </w:r>
    </w:p>
    <w:p w14:paraId="190B1E3B" w14:textId="77777777" w:rsidR="002B5DD0" w:rsidRDefault="002B5DD0">
      <w:pPr>
        <w:spacing w:after="0" w:line="240" w:lineRule="auto"/>
        <w:rPr>
          <w:b/>
          <w:bCs/>
          <w:iCs/>
          <w:color w:val="000000"/>
          <w:sz w:val="22"/>
          <w:szCs w:val="22"/>
        </w:rPr>
      </w:pPr>
    </w:p>
    <w:p w14:paraId="5A938AFC" w14:textId="77777777" w:rsidR="002B5DD0" w:rsidRDefault="002B5DD0">
      <w:pPr>
        <w:pStyle w:val="NoSpacing"/>
        <w:rPr>
          <w:rFonts w:ascii="Times New Roman" w:hAnsi="Times New Roman"/>
          <w:b/>
        </w:rPr>
      </w:pPr>
    </w:p>
    <w:p w14:paraId="6947BF4F" w14:textId="77777777" w:rsidR="002B5DD0" w:rsidRDefault="00904FEB">
      <w:pPr>
        <w:pStyle w:val="NoSpacing"/>
        <w:rPr>
          <w:sz w:val="24"/>
        </w:rPr>
      </w:pPr>
      <w:r>
        <w:rPr>
          <w:rFonts w:ascii="Times New Roman" w:hAnsi="Times New Roman"/>
          <w:b/>
        </w:rPr>
        <w:t>Syllabus</w:t>
      </w:r>
      <w:r>
        <w:rPr>
          <w:rFonts w:ascii="Times New Roman" w:hAnsi="Times New Roman"/>
        </w:rPr>
        <w:t>: This syllabus is subject to changes announced in class.</w:t>
      </w:r>
    </w:p>
    <w:p w14:paraId="00832AC5" w14:textId="77777777" w:rsidR="002B5DD0" w:rsidRDefault="00904FEB">
      <w:r>
        <w:t xml:space="preserve"> </w:t>
      </w:r>
    </w:p>
    <w:sectPr w:rsidR="002B5DD0">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64D58"/>
    <w:multiLevelType w:val="multilevel"/>
    <w:tmpl w:val="CC3822EA"/>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800"/>
        </w:tabs>
        <w:ind w:left="1800" w:hanging="360"/>
      </w:pPr>
      <w:rPr>
        <w:rFonts w:ascii="Symbol" w:hAnsi="Symbol" w:cs="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3240"/>
        </w:tabs>
        <w:ind w:left="3240" w:hanging="360"/>
      </w:pPr>
      <w:rPr>
        <w:rFonts w:ascii="Symbol" w:hAnsi="Symbol" w:cs="Symbol" w:hint="default"/>
      </w:rPr>
    </w:lvl>
    <w:lvl w:ilvl="5">
      <w:start w:val="1"/>
      <w:numFmt w:val="bullet"/>
      <w:lvlText w:val=""/>
      <w:lvlJc w:val="left"/>
      <w:pPr>
        <w:tabs>
          <w:tab w:val="num" w:pos="3960"/>
        </w:tabs>
        <w:ind w:left="3960" w:hanging="360"/>
      </w:pPr>
      <w:rPr>
        <w:rFonts w:ascii="Symbol" w:hAnsi="Symbol" w:cs="Symbol"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
      <w:lvlJc w:val="left"/>
      <w:pPr>
        <w:tabs>
          <w:tab w:val="num" w:pos="5400"/>
        </w:tabs>
        <w:ind w:left="5400" w:hanging="360"/>
      </w:pPr>
      <w:rPr>
        <w:rFonts w:ascii="Symbol" w:hAnsi="Symbol" w:cs="Symbol" w:hint="default"/>
      </w:rPr>
    </w:lvl>
    <w:lvl w:ilvl="8">
      <w:start w:val="1"/>
      <w:numFmt w:val="bullet"/>
      <w:lvlText w:val=""/>
      <w:lvlJc w:val="left"/>
      <w:pPr>
        <w:tabs>
          <w:tab w:val="num" w:pos="6120"/>
        </w:tabs>
        <w:ind w:left="6120" w:hanging="360"/>
      </w:pPr>
      <w:rPr>
        <w:rFonts w:ascii="Symbol" w:hAnsi="Symbol" w:cs="Symbol" w:hint="default"/>
      </w:rPr>
    </w:lvl>
  </w:abstractNum>
  <w:abstractNum w:abstractNumId="1" w15:restartNumberingAfterBreak="0">
    <w:nsid w:val="3A422ECF"/>
    <w:multiLevelType w:val="multilevel"/>
    <w:tmpl w:val="D10A19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45D721A"/>
    <w:multiLevelType w:val="multilevel"/>
    <w:tmpl w:val="1AB034B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52EF68DA"/>
    <w:multiLevelType w:val="multilevel"/>
    <w:tmpl w:val="A27CFB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23C6BBA"/>
    <w:multiLevelType w:val="multilevel"/>
    <w:tmpl w:val="18B2E68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DD0"/>
    <w:rsid w:val="002B5DD0"/>
    <w:rsid w:val="00776F4C"/>
    <w:rsid w:val="00904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1660055"/>
  <w15:docId w15:val="{8F59C7C8-3C8E-DC40-9D8C-BBF72C31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1BC"/>
    <w:pPr>
      <w:spacing w:before="100" w:after="200" w:line="276" w:lineRule="auto"/>
    </w:pPr>
  </w:style>
  <w:style w:type="paragraph" w:styleId="Heading1">
    <w:name w:val="heading 1"/>
    <w:basedOn w:val="Normal"/>
    <w:next w:val="Normal"/>
    <w:link w:val="Heading1Char"/>
    <w:uiPriority w:val="9"/>
    <w:qFormat/>
    <w:rsid w:val="00BE71BC"/>
    <w:pPr>
      <w:pBdr>
        <w:top w:val="single" w:sz="24" w:space="0" w:color="549E39"/>
        <w:left w:val="single" w:sz="24" w:space="0" w:color="549E39"/>
        <w:bottom w:val="single" w:sz="24" w:space="0" w:color="549E39"/>
        <w:right w:val="single" w:sz="24" w:space="0" w:color="549E39"/>
      </w:pBdr>
      <w:shd w:val="clear" w:color="auto" w:fill="549E39"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BE71BC"/>
    <w:pPr>
      <w:pBdr>
        <w:top w:val="single" w:sz="24" w:space="0" w:color="DAEFD3"/>
        <w:left w:val="single" w:sz="24" w:space="0" w:color="DAEFD3"/>
        <w:bottom w:val="single" w:sz="24" w:space="0" w:color="DAEFD3"/>
        <w:right w:val="single" w:sz="24" w:space="0" w:color="DAEFD3"/>
      </w:pBdr>
      <w:shd w:val="clear" w:color="auto" w:fill="DAEFD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E71BC"/>
    <w:pPr>
      <w:pBdr>
        <w:top w:val="single" w:sz="6" w:space="2" w:color="549E39"/>
      </w:pBdr>
      <w:spacing w:before="300" w:after="0"/>
      <w:outlineLvl w:val="2"/>
    </w:pPr>
    <w:rPr>
      <w:caps/>
      <w:color w:val="294E1C" w:themeColor="accent1" w:themeShade="7F"/>
      <w:spacing w:val="15"/>
    </w:rPr>
  </w:style>
  <w:style w:type="paragraph" w:styleId="Heading4">
    <w:name w:val="heading 4"/>
    <w:basedOn w:val="Normal"/>
    <w:next w:val="Normal"/>
    <w:link w:val="Heading4Char"/>
    <w:uiPriority w:val="9"/>
    <w:semiHidden/>
    <w:unhideWhenUsed/>
    <w:qFormat/>
    <w:rsid w:val="00BE71BC"/>
    <w:pPr>
      <w:pBdr>
        <w:top w:val="dotted" w:sz="6" w:space="2" w:color="549E39"/>
      </w:pBdr>
      <w:spacing w:before="200" w:after="0"/>
      <w:outlineLvl w:val="3"/>
    </w:pPr>
    <w:rPr>
      <w:caps/>
      <w:color w:val="3E762A" w:themeColor="accent1" w:themeShade="BF"/>
      <w:spacing w:val="10"/>
    </w:rPr>
  </w:style>
  <w:style w:type="paragraph" w:styleId="Heading5">
    <w:name w:val="heading 5"/>
    <w:basedOn w:val="Normal"/>
    <w:next w:val="Normal"/>
    <w:link w:val="Heading5Char"/>
    <w:uiPriority w:val="9"/>
    <w:semiHidden/>
    <w:unhideWhenUsed/>
    <w:qFormat/>
    <w:rsid w:val="00BE71BC"/>
    <w:pPr>
      <w:pBdr>
        <w:bottom w:val="single" w:sz="6" w:space="1" w:color="549E39"/>
      </w:pBdr>
      <w:spacing w:before="200" w:after="0"/>
      <w:outlineLvl w:val="4"/>
    </w:pPr>
    <w:rPr>
      <w:caps/>
      <w:color w:val="3E762A" w:themeColor="accent1" w:themeShade="BF"/>
      <w:spacing w:val="10"/>
    </w:rPr>
  </w:style>
  <w:style w:type="paragraph" w:styleId="Heading6">
    <w:name w:val="heading 6"/>
    <w:basedOn w:val="Normal"/>
    <w:next w:val="Normal"/>
    <w:link w:val="Heading6Char"/>
    <w:uiPriority w:val="9"/>
    <w:semiHidden/>
    <w:unhideWhenUsed/>
    <w:qFormat/>
    <w:rsid w:val="00BE71BC"/>
    <w:pPr>
      <w:pBdr>
        <w:bottom w:val="dotted" w:sz="6" w:space="1" w:color="549E39"/>
      </w:pBdr>
      <w:spacing w:before="200" w:after="0"/>
      <w:outlineLvl w:val="5"/>
    </w:pPr>
    <w:rPr>
      <w:caps/>
      <w:color w:val="3E762A" w:themeColor="accent1" w:themeShade="BF"/>
      <w:spacing w:val="10"/>
    </w:rPr>
  </w:style>
  <w:style w:type="paragraph" w:styleId="Heading7">
    <w:name w:val="heading 7"/>
    <w:basedOn w:val="Normal"/>
    <w:next w:val="Normal"/>
    <w:link w:val="Heading7Char"/>
    <w:uiPriority w:val="9"/>
    <w:semiHidden/>
    <w:unhideWhenUsed/>
    <w:qFormat/>
    <w:rsid w:val="00BE71BC"/>
    <w:pPr>
      <w:spacing w:before="200" w:after="0"/>
      <w:outlineLvl w:val="6"/>
    </w:pPr>
    <w:rPr>
      <w:caps/>
      <w:color w:val="3E762A" w:themeColor="accent1" w:themeShade="BF"/>
      <w:spacing w:val="10"/>
    </w:rPr>
  </w:style>
  <w:style w:type="paragraph" w:styleId="Heading8">
    <w:name w:val="heading 8"/>
    <w:basedOn w:val="Normal"/>
    <w:next w:val="Normal"/>
    <w:link w:val="Heading8Char"/>
    <w:uiPriority w:val="9"/>
    <w:semiHidden/>
    <w:unhideWhenUsed/>
    <w:qFormat/>
    <w:rsid w:val="00BE71B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E71B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0069"/>
    <w:rPr>
      <w:color w:val="6B9F25" w:themeColor="hyperlink"/>
      <w:u w:val="single"/>
    </w:rPr>
  </w:style>
  <w:style w:type="character" w:customStyle="1" w:styleId="Heading1Char">
    <w:name w:val="Heading 1 Char"/>
    <w:basedOn w:val="DefaultParagraphFont"/>
    <w:link w:val="Heading1"/>
    <w:uiPriority w:val="9"/>
    <w:qFormat/>
    <w:rsid w:val="00BE71BC"/>
    <w:rPr>
      <w:caps/>
      <w:color w:val="FFFFFF" w:themeColor="background1"/>
      <w:spacing w:val="15"/>
      <w:sz w:val="22"/>
      <w:szCs w:val="22"/>
      <w:shd w:val="clear" w:color="auto" w:fill="549E39"/>
    </w:rPr>
  </w:style>
  <w:style w:type="character" w:customStyle="1" w:styleId="Heading2Char">
    <w:name w:val="Heading 2 Char"/>
    <w:basedOn w:val="DefaultParagraphFont"/>
    <w:link w:val="Heading2"/>
    <w:uiPriority w:val="9"/>
    <w:qFormat/>
    <w:rsid w:val="00BE71BC"/>
    <w:rPr>
      <w:caps/>
      <w:spacing w:val="15"/>
      <w:shd w:val="clear" w:color="auto" w:fill="DAEFD3"/>
    </w:rPr>
  </w:style>
  <w:style w:type="character" w:customStyle="1" w:styleId="Heading3Char">
    <w:name w:val="Heading 3 Char"/>
    <w:basedOn w:val="DefaultParagraphFont"/>
    <w:link w:val="Heading3"/>
    <w:uiPriority w:val="9"/>
    <w:semiHidden/>
    <w:qFormat/>
    <w:rsid w:val="00BE71BC"/>
    <w:rPr>
      <w:caps/>
      <w:color w:val="294E1C" w:themeColor="accent1" w:themeShade="7F"/>
      <w:spacing w:val="15"/>
    </w:rPr>
  </w:style>
  <w:style w:type="character" w:customStyle="1" w:styleId="Heading4Char">
    <w:name w:val="Heading 4 Char"/>
    <w:basedOn w:val="DefaultParagraphFont"/>
    <w:link w:val="Heading4"/>
    <w:uiPriority w:val="9"/>
    <w:semiHidden/>
    <w:qFormat/>
    <w:rsid w:val="00BE71BC"/>
    <w:rPr>
      <w:caps/>
      <w:color w:val="3E762A" w:themeColor="accent1" w:themeShade="BF"/>
      <w:spacing w:val="10"/>
    </w:rPr>
  </w:style>
  <w:style w:type="character" w:customStyle="1" w:styleId="Heading5Char">
    <w:name w:val="Heading 5 Char"/>
    <w:basedOn w:val="DefaultParagraphFont"/>
    <w:link w:val="Heading5"/>
    <w:uiPriority w:val="9"/>
    <w:semiHidden/>
    <w:qFormat/>
    <w:rsid w:val="00BE71BC"/>
    <w:rPr>
      <w:caps/>
      <w:color w:val="3E762A" w:themeColor="accent1" w:themeShade="BF"/>
      <w:spacing w:val="10"/>
    </w:rPr>
  </w:style>
  <w:style w:type="character" w:customStyle="1" w:styleId="Heading6Char">
    <w:name w:val="Heading 6 Char"/>
    <w:basedOn w:val="DefaultParagraphFont"/>
    <w:link w:val="Heading6"/>
    <w:uiPriority w:val="9"/>
    <w:semiHidden/>
    <w:qFormat/>
    <w:rsid w:val="00BE71BC"/>
    <w:rPr>
      <w:caps/>
      <w:color w:val="3E762A" w:themeColor="accent1" w:themeShade="BF"/>
      <w:spacing w:val="10"/>
    </w:rPr>
  </w:style>
  <w:style w:type="character" w:customStyle="1" w:styleId="Heading7Char">
    <w:name w:val="Heading 7 Char"/>
    <w:basedOn w:val="DefaultParagraphFont"/>
    <w:link w:val="Heading7"/>
    <w:uiPriority w:val="9"/>
    <w:semiHidden/>
    <w:qFormat/>
    <w:rsid w:val="00BE71BC"/>
    <w:rPr>
      <w:caps/>
      <w:color w:val="3E762A" w:themeColor="accent1" w:themeShade="BF"/>
      <w:spacing w:val="10"/>
    </w:rPr>
  </w:style>
  <w:style w:type="character" w:customStyle="1" w:styleId="Heading8Char">
    <w:name w:val="Heading 8 Char"/>
    <w:basedOn w:val="DefaultParagraphFont"/>
    <w:link w:val="Heading8"/>
    <w:uiPriority w:val="9"/>
    <w:semiHidden/>
    <w:qFormat/>
    <w:rsid w:val="00BE71BC"/>
    <w:rPr>
      <w:caps/>
      <w:spacing w:val="10"/>
      <w:sz w:val="18"/>
      <w:szCs w:val="18"/>
    </w:rPr>
  </w:style>
  <w:style w:type="character" w:customStyle="1" w:styleId="Heading9Char">
    <w:name w:val="Heading 9 Char"/>
    <w:basedOn w:val="DefaultParagraphFont"/>
    <w:link w:val="Heading9"/>
    <w:uiPriority w:val="9"/>
    <w:semiHidden/>
    <w:qFormat/>
    <w:rsid w:val="00BE71BC"/>
    <w:rPr>
      <w:i/>
      <w:iCs/>
      <w:caps/>
      <w:spacing w:val="10"/>
      <w:sz w:val="18"/>
      <w:szCs w:val="18"/>
    </w:rPr>
  </w:style>
  <w:style w:type="character" w:customStyle="1" w:styleId="TitleChar">
    <w:name w:val="Title Char"/>
    <w:basedOn w:val="DefaultParagraphFont"/>
    <w:link w:val="Title"/>
    <w:uiPriority w:val="10"/>
    <w:qFormat/>
    <w:rsid w:val="00BE71BC"/>
    <w:rPr>
      <w:rFonts w:asciiTheme="majorHAnsi" w:eastAsiaTheme="majorEastAsia" w:hAnsiTheme="majorHAnsi" w:cstheme="majorBidi"/>
      <w:caps/>
      <w:color w:val="549E39" w:themeColor="accent1"/>
      <w:spacing w:val="10"/>
      <w:sz w:val="52"/>
      <w:szCs w:val="52"/>
    </w:rPr>
  </w:style>
  <w:style w:type="character" w:customStyle="1" w:styleId="SubtitleChar">
    <w:name w:val="Subtitle Char"/>
    <w:basedOn w:val="DefaultParagraphFont"/>
    <w:link w:val="Subtitle"/>
    <w:uiPriority w:val="11"/>
    <w:qFormat/>
    <w:rsid w:val="00BE71BC"/>
    <w:rPr>
      <w:caps/>
      <w:color w:val="595959" w:themeColor="text1" w:themeTint="A6"/>
      <w:spacing w:val="10"/>
      <w:sz w:val="21"/>
      <w:szCs w:val="21"/>
    </w:rPr>
  </w:style>
  <w:style w:type="character" w:styleId="Strong">
    <w:name w:val="Strong"/>
    <w:uiPriority w:val="22"/>
    <w:qFormat/>
    <w:rsid w:val="00BE71BC"/>
    <w:rPr>
      <w:b/>
      <w:bCs/>
    </w:rPr>
  </w:style>
  <w:style w:type="character" w:styleId="Emphasis">
    <w:name w:val="Emphasis"/>
    <w:uiPriority w:val="20"/>
    <w:qFormat/>
    <w:rsid w:val="00BE71BC"/>
    <w:rPr>
      <w:caps/>
      <w:color w:val="294E1C" w:themeColor="accent1" w:themeShade="7F"/>
      <w:spacing w:val="5"/>
    </w:rPr>
  </w:style>
  <w:style w:type="character" w:customStyle="1" w:styleId="QuoteChar">
    <w:name w:val="Quote Char"/>
    <w:basedOn w:val="DefaultParagraphFont"/>
    <w:link w:val="Quote"/>
    <w:uiPriority w:val="29"/>
    <w:qFormat/>
    <w:rsid w:val="00BE71BC"/>
    <w:rPr>
      <w:i/>
      <w:iCs/>
      <w:sz w:val="24"/>
      <w:szCs w:val="24"/>
    </w:rPr>
  </w:style>
  <w:style w:type="character" w:customStyle="1" w:styleId="IntenseQuoteChar">
    <w:name w:val="Intense Quote Char"/>
    <w:basedOn w:val="DefaultParagraphFont"/>
    <w:link w:val="IntenseQuote"/>
    <w:uiPriority w:val="30"/>
    <w:qFormat/>
    <w:rsid w:val="00BE71BC"/>
    <w:rPr>
      <w:color w:val="549E39" w:themeColor="accent1"/>
      <w:sz w:val="24"/>
      <w:szCs w:val="24"/>
    </w:rPr>
  </w:style>
  <w:style w:type="character" w:styleId="SubtleEmphasis">
    <w:name w:val="Subtle Emphasis"/>
    <w:uiPriority w:val="19"/>
    <w:qFormat/>
    <w:rsid w:val="00BE71BC"/>
    <w:rPr>
      <w:i/>
      <w:iCs/>
      <w:color w:val="294E1C" w:themeColor="accent1" w:themeShade="7F"/>
    </w:rPr>
  </w:style>
  <w:style w:type="character" w:styleId="IntenseEmphasis">
    <w:name w:val="Intense Emphasis"/>
    <w:uiPriority w:val="21"/>
    <w:qFormat/>
    <w:rsid w:val="00BE71BC"/>
    <w:rPr>
      <w:b/>
      <w:bCs/>
      <w:caps/>
      <w:color w:val="294E1C" w:themeColor="accent1" w:themeShade="7F"/>
      <w:spacing w:val="10"/>
    </w:rPr>
  </w:style>
  <w:style w:type="character" w:styleId="SubtleReference">
    <w:name w:val="Subtle Reference"/>
    <w:uiPriority w:val="31"/>
    <w:qFormat/>
    <w:rsid w:val="00BE71BC"/>
    <w:rPr>
      <w:b/>
      <w:bCs/>
      <w:color w:val="549E39" w:themeColor="accent1"/>
    </w:rPr>
  </w:style>
  <w:style w:type="character" w:styleId="IntenseReference">
    <w:name w:val="Intense Reference"/>
    <w:uiPriority w:val="32"/>
    <w:qFormat/>
    <w:rsid w:val="00BE71BC"/>
    <w:rPr>
      <w:b/>
      <w:bCs/>
      <w:i/>
      <w:iCs/>
      <w:caps/>
      <w:color w:val="549E39" w:themeColor="accent1"/>
    </w:rPr>
  </w:style>
  <w:style w:type="character" w:styleId="BookTitle">
    <w:name w:val="Book Title"/>
    <w:uiPriority w:val="33"/>
    <w:qFormat/>
    <w:rsid w:val="00BE71BC"/>
    <w:rPr>
      <w:b/>
      <w:bCs/>
      <w:i/>
      <w:iCs/>
      <w:spacing w:val="0"/>
    </w:rPr>
  </w:style>
  <w:style w:type="character" w:customStyle="1" w:styleId="UnresolvedMention1">
    <w:name w:val="Unresolved Mention1"/>
    <w:basedOn w:val="DefaultParagraphFont"/>
    <w:uiPriority w:val="99"/>
    <w:semiHidden/>
    <w:unhideWhenUsed/>
    <w:qFormat/>
    <w:rsid w:val="0007049E"/>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before="0" w:after="140"/>
    </w:pPr>
  </w:style>
  <w:style w:type="paragraph" w:styleId="List">
    <w:name w:val="List"/>
    <w:basedOn w:val="BodyText"/>
    <w:rPr>
      <w:rFonts w:cs="Lohit Devanagari"/>
    </w:rPr>
  </w:style>
  <w:style w:type="paragraph" w:styleId="Caption">
    <w:name w:val="caption"/>
    <w:basedOn w:val="Normal"/>
    <w:next w:val="Normal"/>
    <w:uiPriority w:val="35"/>
    <w:semiHidden/>
    <w:unhideWhenUsed/>
    <w:qFormat/>
    <w:rsid w:val="00BE71BC"/>
    <w:rPr>
      <w:b/>
      <w:bCs/>
      <w:color w:val="3E762A" w:themeColor="accent1" w:themeShade="BF"/>
      <w:sz w:val="16"/>
      <w:szCs w:val="16"/>
    </w:rPr>
  </w:style>
  <w:style w:type="paragraph" w:customStyle="1" w:styleId="Index">
    <w:name w:val="Index"/>
    <w:basedOn w:val="Normal"/>
    <w:qFormat/>
    <w:pPr>
      <w:suppressLineNumbers/>
    </w:pPr>
    <w:rPr>
      <w:rFonts w:cs="Lohit Devanagari"/>
    </w:rPr>
  </w:style>
  <w:style w:type="paragraph" w:styleId="Title">
    <w:name w:val="Title"/>
    <w:basedOn w:val="Normal"/>
    <w:next w:val="Normal"/>
    <w:link w:val="TitleChar"/>
    <w:uiPriority w:val="10"/>
    <w:qFormat/>
    <w:rsid w:val="00BE71BC"/>
    <w:pPr>
      <w:spacing w:before="0" w:after="0"/>
    </w:pPr>
    <w:rPr>
      <w:rFonts w:asciiTheme="majorHAnsi" w:eastAsiaTheme="majorEastAsia" w:hAnsiTheme="majorHAnsi" w:cstheme="majorBidi"/>
      <w:caps/>
      <w:color w:val="549E39" w:themeColor="accent1"/>
      <w:spacing w:val="10"/>
      <w:sz w:val="52"/>
      <w:szCs w:val="52"/>
    </w:rPr>
  </w:style>
  <w:style w:type="paragraph" w:styleId="Subtitle">
    <w:name w:val="Subtitle"/>
    <w:basedOn w:val="Normal"/>
    <w:next w:val="Normal"/>
    <w:link w:val="SubtitleChar"/>
    <w:uiPriority w:val="11"/>
    <w:qFormat/>
    <w:rsid w:val="00BE71BC"/>
    <w:pPr>
      <w:spacing w:before="0" w:after="500" w:line="240" w:lineRule="auto"/>
    </w:pPr>
    <w:rPr>
      <w:caps/>
      <w:color w:val="595959" w:themeColor="text1" w:themeTint="A6"/>
      <w:spacing w:val="10"/>
      <w:sz w:val="21"/>
      <w:szCs w:val="21"/>
    </w:rPr>
  </w:style>
  <w:style w:type="paragraph" w:styleId="NoSpacing">
    <w:name w:val="No Spacing"/>
    <w:uiPriority w:val="1"/>
    <w:qFormat/>
    <w:rsid w:val="00BE71BC"/>
    <w:pPr>
      <w:spacing w:before="100"/>
    </w:pPr>
  </w:style>
  <w:style w:type="paragraph" w:styleId="Quote">
    <w:name w:val="Quote"/>
    <w:basedOn w:val="Normal"/>
    <w:next w:val="Normal"/>
    <w:link w:val="QuoteChar"/>
    <w:uiPriority w:val="29"/>
    <w:qFormat/>
    <w:rsid w:val="00BE71BC"/>
    <w:rPr>
      <w:i/>
      <w:iCs/>
      <w:sz w:val="24"/>
      <w:szCs w:val="24"/>
    </w:rPr>
  </w:style>
  <w:style w:type="paragraph" w:styleId="IntenseQuote">
    <w:name w:val="Intense Quote"/>
    <w:basedOn w:val="Normal"/>
    <w:next w:val="Normal"/>
    <w:link w:val="IntenseQuoteChar"/>
    <w:uiPriority w:val="30"/>
    <w:qFormat/>
    <w:rsid w:val="00BE71BC"/>
    <w:pPr>
      <w:spacing w:before="240" w:after="240" w:line="240" w:lineRule="auto"/>
      <w:ind w:left="1080" w:right="1080"/>
      <w:jc w:val="center"/>
    </w:pPr>
    <w:rPr>
      <w:color w:val="549E39" w:themeColor="accent1"/>
      <w:sz w:val="24"/>
      <w:szCs w:val="24"/>
    </w:rPr>
  </w:style>
  <w:style w:type="paragraph" w:styleId="IndexHeading">
    <w:name w:val="index heading"/>
    <w:basedOn w:val="Heading"/>
  </w:style>
  <w:style w:type="paragraph" w:styleId="TOCHeading">
    <w:name w:val="TOC Heading"/>
    <w:basedOn w:val="Heading1"/>
    <w:next w:val="Normal"/>
    <w:uiPriority w:val="39"/>
    <w:semiHidden/>
    <w:unhideWhenUsed/>
    <w:qFormat/>
    <w:rsid w:val="00BE71BC"/>
    <w:pPr>
      <w:shd w:val="clear" w:color="auto" w:fill="549E39"/>
      <w:outlineLvl w:val="9"/>
    </w:pPr>
  </w:style>
  <w:style w:type="paragraph" w:styleId="ListParagraph">
    <w:name w:val="List Paragraph"/>
    <w:basedOn w:val="Normal"/>
    <w:uiPriority w:val="34"/>
    <w:qFormat/>
    <w:rsid w:val="00BE71BC"/>
    <w:pPr>
      <w:ind w:left="720"/>
      <w:contextualSpacing/>
    </w:pPr>
  </w:style>
  <w:style w:type="paragraph" w:customStyle="1" w:styleId="FrameContents">
    <w:name w:val="Frame Contents"/>
    <w:basedOn w:val="Normal"/>
    <w:qFormat/>
  </w:style>
  <w:style w:type="table" w:styleId="TableGrid">
    <w:name w:val="Table Grid"/>
    <w:basedOn w:val="TableNormal"/>
    <w:uiPriority w:val="39"/>
    <w:rsid w:val="000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userservices@uab.edu" TargetMode="External"/><Relationship Id="rId3" Type="http://schemas.openxmlformats.org/officeDocument/2006/relationships/styles" Target="styles.xml"/><Relationship Id="rId7" Type="http://schemas.openxmlformats.org/officeDocument/2006/relationships/hyperlink" Target="https://www.uab.edu/cas/mathematics/resourc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ab.edu/mathematic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ab.edu/students/one-stop/policies/institutional-refund-policy" TargetMode="External"/><Relationship Id="rId4" Type="http://schemas.openxmlformats.org/officeDocument/2006/relationships/settings" Target="settings.xml"/><Relationship Id="rId9" Type="http://schemas.openxmlformats.org/officeDocument/2006/relationships/hyperlink" Target="https://www.uab.edu/students/academics/academic-calendar"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AC34F-EE8D-459D-AB50-45514537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2064</Words>
  <Characters>11769</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13806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Caren</dc:creator>
  <dc:description/>
  <cp:lastModifiedBy>Coleman, Daniel J</cp:lastModifiedBy>
  <cp:revision>2</cp:revision>
  <dcterms:created xsi:type="dcterms:W3CDTF">2023-01-10T19:23:00Z</dcterms:created>
  <dcterms:modified xsi:type="dcterms:W3CDTF">2023-01-10T19:23:00Z</dcterms:modified>
  <dc:language>en-US</dc:language>
</cp:coreProperties>
</file>