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4F3" w:rsidRPr="00B31C17" w:rsidRDefault="00352190">
      <w:pPr>
        <w:rPr>
          <w:sz w:val="40"/>
          <w:szCs w:val="40"/>
          <w:u w:val="single"/>
        </w:rPr>
      </w:pPr>
      <w:r w:rsidRPr="00B31C17">
        <w:rPr>
          <w:sz w:val="40"/>
          <w:szCs w:val="40"/>
          <w:u w:val="single"/>
        </w:rPr>
        <w:t>Informed Consenting Best Practices</w:t>
      </w:r>
      <w:r w:rsidR="00002C5B" w:rsidRPr="00B31C17">
        <w:rPr>
          <w:sz w:val="40"/>
          <w:szCs w:val="40"/>
          <w:u w:val="single"/>
        </w:rPr>
        <w:t xml:space="preserve"> (the do</w:t>
      </w:r>
      <w:r w:rsidR="00846222" w:rsidRPr="00B31C17">
        <w:rPr>
          <w:sz w:val="40"/>
          <w:szCs w:val="40"/>
          <w:u w:val="single"/>
        </w:rPr>
        <w:t>’</w:t>
      </w:r>
      <w:r w:rsidR="00002C5B" w:rsidRPr="00B31C17">
        <w:rPr>
          <w:sz w:val="40"/>
          <w:szCs w:val="40"/>
          <w:u w:val="single"/>
        </w:rPr>
        <w:t>s and don’ts)</w:t>
      </w:r>
      <w:r w:rsidRPr="00B31C17">
        <w:rPr>
          <w:sz w:val="40"/>
          <w:szCs w:val="40"/>
          <w:u w:val="single"/>
        </w:rPr>
        <w:t>:</w:t>
      </w:r>
    </w:p>
    <w:p w:rsidR="00352190" w:rsidRPr="00B31C17" w:rsidRDefault="00352190" w:rsidP="00002C5B">
      <w:pPr>
        <w:pStyle w:val="ListParagraph"/>
        <w:numPr>
          <w:ilvl w:val="0"/>
          <w:numId w:val="1"/>
        </w:numPr>
        <w:rPr>
          <w:sz w:val="24"/>
          <w:szCs w:val="24"/>
        </w:rPr>
      </w:pPr>
      <w:r w:rsidRPr="00B31C17">
        <w:rPr>
          <w:sz w:val="24"/>
          <w:szCs w:val="24"/>
        </w:rPr>
        <w:t xml:space="preserve">The Informed Consent Form (ICF) process begins with you and the patient at the very beginning of the study and continues throughout the duration of the study. The ICF is done </w:t>
      </w:r>
      <w:r w:rsidRPr="00B31C17">
        <w:rPr>
          <w:sz w:val="24"/>
          <w:szCs w:val="24"/>
          <w:u w:val="single"/>
        </w:rPr>
        <w:t>BEFORE</w:t>
      </w:r>
      <w:r w:rsidRPr="00B31C17">
        <w:rPr>
          <w:sz w:val="24"/>
          <w:szCs w:val="24"/>
        </w:rPr>
        <w:t xml:space="preserve"> anything is done on the study. This is a hot FDA topic and many FDA auditors look for this documentation. </w:t>
      </w:r>
    </w:p>
    <w:p w:rsidR="00002C5B" w:rsidRPr="00B31C17" w:rsidRDefault="00352190" w:rsidP="00002C5B">
      <w:pPr>
        <w:pStyle w:val="ListParagraph"/>
        <w:numPr>
          <w:ilvl w:val="0"/>
          <w:numId w:val="1"/>
        </w:numPr>
        <w:spacing w:after="240"/>
        <w:rPr>
          <w:sz w:val="24"/>
          <w:szCs w:val="24"/>
        </w:rPr>
      </w:pPr>
      <w:r w:rsidRPr="00B31C17">
        <w:rPr>
          <w:sz w:val="24"/>
          <w:szCs w:val="24"/>
        </w:rPr>
        <w:t xml:space="preserve">Use a checklist or have a documented process on the ICF process. This ensures all areas of the ICF are discussed and addressed. It also ensures that no procedures were performed prior to the ICF. </w:t>
      </w:r>
    </w:p>
    <w:p w:rsidR="00352190" w:rsidRPr="00B31C17" w:rsidRDefault="00352190" w:rsidP="00002C5B">
      <w:pPr>
        <w:pStyle w:val="ListParagraph"/>
        <w:numPr>
          <w:ilvl w:val="0"/>
          <w:numId w:val="1"/>
        </w:numPr>
        <w:rPr>
          <w:sz w:val="24"/>
          <w:szCs w:val="24"/>
        </w:rPr>
      </w:pPr>
      <w:r w:rsidRPr="00B31C17">
        <w:rPr>
          <w:sz w:val="24"/>
          <w:szCs w:val="24"/>
        </w:rPr>
        <w:t>Use Black or Blue ink only. Avoid red, green</w:t>
      </w:r>
      <w:r w:rsidR="00B31C17" w:rsidRPr="00B31C17">
        <w:rPr>
          <w:sz w:val="24"/>
          <w:szCs w:val="24"/>
        </w:rPr>
        <w:t>,</w:t>
      </w:r>
      <w:r w:rsidRPr="00B31C17">
        <w:rPr>
          <w:sz w:val="24"/>
          <w:szCs w:val="24"/>
        </w:rPr>
        <w:t xml:space="preserve"> pink</w:t>
      </w:r>
      <w:r w:rsidR="00AE3091" w:rsidRPr="00B31C17">
        <w:rPr>
          <w:sz w:val="24"/>
          <w:szCs w:val="24"/>
        </w:rPr>
        <w:t>…</w:t>
      </w:r>
      <w:r w:rsidRPr="00B31C17">
        <w:rPr>
          <w:sz w:val="24"/>
          <w:szCs w:val="24"/>
        </w:rPr>
        <w:t>etc.</w:t>
      </w:r>
    </w:p>
    <w:p w:rsidR="00352190" w:rsidRPr="00B31C17" w:rsidRDefault="00352190" w:rsidP="00002C5B">
      <w:pPr>
        <w:pStyle w:val="ListParagraph"/>
        <w:numPr>
          <w:ilvl w:val="0"/>
          <w:numId w:val="1"/>
        </w:numPr>
        <w:rPr>
          <w:sz w:val="24"/>
          <w:szCs w:val="24"/>
        </w:rPr>
      </w:pPr>
      <w:r w:rsidRPr="00B31C17">
        <w:rPr>
          <w:sz w:val="24"/>
          <w:szCs w:val="24"/>
        </w:rPr>
        <w:t xml:space="preserve">Know if the ICF should become part of the medical record. </w:t>
      </w:r>
    </w:p>
    <w:p w:rsidR="00352190" w:rsidRPr="00B31C17" w:rsidRDefault="00352190" w:rsidP="00002C5B">
      <w:pPr>
        <w:pStyle w:val="ListParagraph"/>
        <w:numPr>
          <w:ilvl w:val="0"/>
          <w:numId w:val="1"/>
        </w:numPr>
        <w:rPr>
          <w:sz w:val="24"/>
          <w:szCs w:val="24"/>
        </w:rPr>
      </w:pPr>
      <w:r w:rsidRPr="00B31C17">
        <w:rPr>
          <w:sz w:val="24"/>
          <w:szCs w:val="24"/>
        </w:rPr>
        <w:t xml:space="preserve">Keep original signed ICF in your source/records and make sure patient has a copy </w:t>
      </w:r>
      <w:r w:rsidR="00846222" w:rsidRPr="00B31C17">
        <w:rPr>
          <w:sz w:val="24"/>
          <w:szCs w:val="24"/>
        </w:rPr>
        <w:t>of the signed</w:t>
      </w:r>
      <w:r w:rsidRPr="00B31C17">
        <w:rPr>
          <w:sz w:val="24"/>
          <w:szCs w:val="24"/>
        </w:rPr>
        <w:t xml:space="preserve"> ICF. </w:t>
      </w:r>
    </w:p>
    <w:p w:rsidR="00352190" w:rsidRPr="00B31C17" w:rsidRDefault="00352190" w:rsidP="00002C5B">
      <w:pPr>
        <w:pStyle w:val="ListParagraph"/>
        <w:numPr>
          <w:ilvl w:val="0"/>
          <w:numId w:val="1"/>
        </w:numPr>
        <w:rPr>
          <w:sz w:val="24"/>
          <w:szCs w:val="24"/>
        </w:rPr>
      </w:pPr>
      <w:r w:rsidRPr="00B31C17">
        <w:rPr>
          <w:sz w:val="24"/>
          <w:szCs w:val="24"/>
        </w:rPr>
        <w:t xml:space="preserve">Make sure your patients fully understand the ICF and what occurs at each visit. Use questions such as </w:t>
      </w:r>
      <w:r w:rsidR="00846222" w:rsidRPr="00B31C17">
        <w:rPr>
          <w:sz w:val="24"/>
          <w:szCs w:val="24"/>
        </w:rPr>
        <w:t>“</w:t>
      </w:r>
      <w:r w:rsidRPr="00B31C17">
        <w:rPr>
          <w:sz w:val="24"/>
          <w:szCs w:val="24"/>
        </w:rPr>
        <w:t>now you tell me what happens</w:t>
      </w:r>
      <w:r w:rsidR="00846222" w:rsidRPr="00B31C17">
        <w:rPr>
          <w:sz w:val="24"/>
          <w:szCs w:val="24"/>
        </w:rPr>
        <w:t>”</w:t>
      </w:r>
      <w:r w:rsidRPr="00B31C17">
        <w:rPr>
          <w:sz w:val="24"/>
          <w:szCs w:val="24"/>
        </w:rPr>
        <w:t>…</w:t>
      </w:r>
    </w:p>
    <w:p w:rsidR="00352190" w:rsidRPr="00B31C17" w:rsidRDefault="00352190" w:rsidP="00002C5B">
      <w:pPr>
        <w:pStyle w:val="ListParagraph"/>
        <w:numPr>
          <w:ilvl w:val="0"/>
          <w:numId w:val="1"/>
        </w:numPr>
        <w:rPr>
          <w:sz w:val="24"/>
          <w:szCs w:val="24"/>
        </w:rPr>
      </w:pPr>
      <w:r w:rsidRPr="00B31C17">
        <w:rPr>
          <w:sz w:val="24"/>
          <w:szCs w:val="24"/>
        </w:rPr>
        <w:t>Give patients 24 hours to think about study unless you have IRB approval to waive the 24 h</w:t>
      </w:r>
      <w:r w:rsidR="00002C5B" w:rsidRPr="00B31C17">
        <w:rPr>
          <w:sz w:val="24"/>
          <w:szCs w:val="24"/>
        </w:rPr>
        <w:t>ou</w:t>
      </w:r>
      <w:r w:rsidRPr="00B31C17">
        <w:rPr>
          <w:sz w:val="24"/>
          <w:szCs w:val="24"/>
        </w:rPr>
        <w:t>r time frame. Also</w:t>
      </w:r>
      <w:r w:rsidR="00846222" w:rsidRPr="00B31C17">
        <w:rPr>
          <w:sz w:val="24"/>
          <w:szCs w:val="24"/>
        </w:rPr>
        <w:t>,</w:t>
      </w:r>
      <w:r w:rsidRPr="00B31C17">
        <w:rPr>
          <w:sz w:val="24"/>
          <w:szCs w:val="24"/>
        </w:rPr>
        <w:t xml:space="preserve"> document if time frame was waived. </w:t>
      </w:r>
    </w:p>
    <w:p w:rsidR="00352190" w:rsidRPr="00B31C17" w:rsidRDefault="00352190" w:rsidP="00002C5B">
      <w:pPr>
        <w:pStyle w:val="ListParagraph"/>
        <w:numPr>
          <w:ilvl w:val="0"/>
          <w:numId w:val="1"/>
        </w:numPr>
        <w:rPr>
          <w:sz w:val="24"/>
          <w:szCs w:val="24"/>
        </w:rPr>
      </w:pPr>
      <w:r w:rsidRPr="00B31C17">
        <w:rPr>
          <w:sz w:val="24"/>
          <w:szCs w:val="24"/>
        </w:rPr>
        <w:t>If consenting before a procedure make sure patient has uninterrupted time and that patient has not been given any medication that would impede their decision (sedatives, etc.).</w:t>
      </w:r>
    </w:p>
    <w:p w:rsidR="00352190" w:rsidRPr="00B31C17" w:rsidRDefault="002867BE" w:rsidP="00002C5B">
      <w:pPr>
        <w:pStyle w:val="ListParagraph"/>
        <w:numPr>
          <w:ilvl w:val="0"/>
          <w:numId w:val="1"/>
        </w:numPr>
        <w:rPr>
          <w:sz w:val="24"/>
          <w:szCs w:val="24"/>
        </w:rPr>
      </w:pPr>
      <w:r w:rsidRPr="00B31C17">
        <w:rPr>
          <w:sz w:val="24"/>
          <w:szCs w:val="24"/>
        </w:rPr>
        <w:t>Make sure the PARTICIPANT signs and initials where appropriate</w:t>
      </w:r>
      <w:r w:rsidR="00846222" w:rsidRPr="00B31C17">
        <w:rPr>
          <w:sz w:val="24"/>
          <w:szCs w:val="24"/>
        </w:rPr>
        <w:t xml:space="preserve"> on the ICF</w:t>
      </w:r>
      <w:r w:rsidRPr="00B31C17">
        <w:rPr>
          <w:sz w:val="24"/>
          <w:szCs w:val="24"/>
        </w:rPr>
        <w:t>.</w:t>
      </w:r>
    </w:p>
    <w:p w:rsidR="002867BE" w:rsidRPr="00B31C17" w:rsidRDefault="002867BE" w:rsidP="00002C5B">
      <w:pPr>
        <w:pStyle w:val="ListParagraph"/>
        <w:numPr>
          <w:ilvl w:val="0"/>
          <w:numId w:val="1"/>
        </w:numPr>
        <w:rPr>
          <w:sz w:val="24"/>
          <w:szCs w:val="24"/>
        </w:rPr>
      </w:pPr>
      <w:r w:rsidRPr="00B31C17">
        <w:rPr>
          <w:sz w:val="24"/>
          <w:szCs w:val="24"/>
        </w:rPr>
        <w:t>Witness needs to be unbiased if applicable.</w:t>
      </w:r>
    </w:p>
    <w:p w:rsidR="00A670AE" w:rsidRDefault="002867BE" w:rsidP="009754F3">
      <w:pPr>
        <w:pStyle w:val="ListParagraph"/>
        <w:numPr>
          <w:ilvl w:val="0"/>
          <w:numId w:val="1"/>
        </w:numPr>
        <w:rPr>
          <w:sz w:val="24"/>
          <w:szCs w:val="24"/>
        </w:rPr>
      </w:pPr>
      <w:r w:rsidRPr="00A670AE">
        <w:rPr>
          <w:sz w:val="24"/>
          <w:szCs w:val="24"/>
        </w:rPr>
        <w:t xml:space="preserve">Answer any questions and continually </w:t>
      </w:r>
      <w:r w:rsidR="00AE3091" w:rsidRPr="00A670AE">
        <w:rPr>
          <w:sz w:val="24"/>
          <w:szCs w:val="24"/>
        </w:rPr>
        <w:t>assess</w:t>
      </w:r>
      <w:r w:rsidR="00AE3091" w:rsidRPr="00A670AE">
        <w:rPr>
          <w:color w:val="FF0000"/>
          <w:sz w:val="24"/>
          <w:szCs w:val="24"/>
        </w:rPr>
        <w:t xml:space="preserve"> </w:t>
      </w:r>
      <w:r w:rsidR="00846222" w:rsidRPr="00A670AE">
        <w:rPr>
          <w:sz w:val="24"/>
          <w:szCs w:val="24"/>
        </w:rPr>
        <w:t xml:space="preserve">agreement /consent </w:t>
      </w:r>
      <w:r w:rsidRPr="00A670AE">
        <w:rPr>
          <w:sz w:val="24"/>
          <w:szCs w:val="24"/>
        </w:rPr>
        <w:t>at each visit</w:t>
      </w:r>
      <w:r w:rsidR="00A670AE">
        <w:rPr>
          <w:sz w:val="24"/>
          <w:szCs w:val="24"/>
        </w:rPr>
        <w:t>.</w:t>
      </w:r>
    </w:p>
    <w:p w:rsidR="002867BE" w:rsidRPr="00A670AE" w:rsidRDefault="002867BE" w:rsidP="009754F3">
      <w:pPr>
        <w:pStyle w:val="ListParagraph"/>
        <w:numPr>
          <w:ilvl w:val="0"/>
          <w:numId w:val="1"/>
        </w:numPr>
        <w:rPr>
          <w:sz w:val="24"/>
          <w:szCs w:val="24"/>
        </w:rPr>
      </w:pPr>
      <w:r w:rsidRPr="00A670AE">
        <w:rPr>
          <w:sz w:val="24"/>
          <w:szCs w:val="24"/>
        </w:rPr>
        <w:t xml:space="preserve">Take a “time out” and make sure you are using the MOST CURRENT APPROVED VERSION of the ICF. </w:t>
      </w:r>
    </w:p>
    <w:p w:rsidR="002867BE" w:rsidRPr="00B31C17" w:rsidRDefault="002867BE" w:rsidP="00002C5B">
      <w:pPr>
        <w:pStyle w:val="ListParagraph"/>
        <w:numPr>
          <w:ilvl w:val="0"/>
          <w:numId w:val="1"/>
        </w:numPr>
        <w:rPr>
          <w:sz w:val="24"/>
          <w:szCs w:val="24"/>
        </w:rPr>
      </w:pPr>
      <w:r w:rsidRPr="00B31C17">
        <w:rPr>
          <w:sz w:val="24"/>
          <w:szCs w:val="24"/>
        </w:rPr>
        <w:t>For studies that have a “sister” study, also make sure you are using correct version and that it is approved by the IRB.</w:t>
      </w:r>
    </w:p>
    <w:p w:rsidR="002867BE" w:rsidRPr="00B31C17" w:rsidRDefault="002867BE" w:rsidP="00002C5B">
      <w:pPr>
        <w:pStyle w:val="ListParagraph"/>
        <w:numPr>
          <w:ilvl w:val="0"/>
          <w:numId w:val="1"/>
        </w:numPr>
        <w:rPr>
          <w:sz w:val="24"/>
          <w:szCs w:val="24"/>
        </w:rPr>
      </w:pPr>
      <w:r w:rsidRPr="00B31C17">
        <w:rPr>
          <w:sz w:val="24"/>
          <w:szCs w:val="24"/>
        </w:rPr>
        <w:t>Be educated and work with your regulatory staff on amendments.</w:t>
      </w:r>
    </w:p>
    <w:p w:rsidR="002867BE" w:rsidRPr="00B31C17" w:rsidRDefault="002867BE" w:rsidP="00002C5B">
      <w:pPr>
        <w:pStyle w:val="ListParagraph"/>
        <w:numPr>
          <w:ilvl w:val="0"/>
          <w:numId w:val="1"/>
        </w:numPr>
        <w:rPr>
          <w:sz w:val="24"/>
          <w:szCs w:val="24"/>
        </w:rPr>
      </w:pPr>
      <w:r w:rsidRPr="00B31C17">
        <w:rPr>
          <w:sz w:val="24"/>
          <w:szCs w:val="24"/>
        </w:rPr>
        <w:t xml:space="preserve">Make sure you have been delegated on the delegation log to perform the ICF process. </w:t>
      </w:r>
    </w:p>
    <w:p w:rsidR="0084551C" w:rsidRPr="00B31C17" w:rsidRDefault="0084551C" w:rsidP="0084551C">
      <w:pPr>
        <w:pStyle w:val="ListParagraph"/>
        <w:numPr>
          <w:ilvl w:val="0"/>
          <w:numId w:val="1"/>
        </w:numPr>
        <w:rPr>
          <w:sz w:val="24"/>
          <w:szCs w:val="24"/>
        </w:rPr>
      </w:pPr>
      <w:r w:rsidRPr="00B31C17">
        <w:rPr>
          <w:sz w:val="24"/>
          <w:szCs w:val="24"/>
        </w:rPr>
        <w:t>Know if the sponsor requires the PI/MD to consent. (GW has company requirement that PI/MD does consenting</w:t>
      </w:r>
      <w:r w:rsidR="00AC6D9A" w:rsidRPr="00B31C17">
        <w:rPr>
          <w:sz w:val="24"/>
          <w:szCs w:val="24"/>
        </w:rPr>
        <w:t xml:space="preserve"> per CRA</w:t>
      </w:r>
      <w:r w:rsidRPr="00B31C17">
        <w:rPr>
          <w:sz w:val="24"/>
          <w:szCs w:val="24"/>
        </w:rPr>
        <w:t xml:space="preserve">.)  </w:t>
      </w:r>
    </w:p>
    <w:p w:rsidR="002867BE" w:rsidRPr="00B31C17" w:rsidRDefault="002867BE" w:rsidP="00002C5B">
      <w:pPr>
        <w:pStyle w:val="ListParagraph"/>
        <w:numPr>
          <w:ilvl w:val="0"/>
          <w:numId w:val="1"/>
        </w:numPr>
        <w:rPr>
          <w:sz w:val="24"/>
          <w:szCs w:val="24"/>
        </w:rPr>
      </w:pPr>
      <w:r w:rsidRPr="00B31C17">
        <w:rPr>
          <w:sz w:val="24"/>
          <w:szCs w:val="24"/>
        </w:rPr>
        <w:t xml:space="preserve">Make sure PI or Sub-I is available to answer questions on the same day you are obtaining ICF and will sign ICF on that day. </w:t>
      </w:r>
    </w:p>
    <w:p w:rsidR="002867BE" w:rsidRPr="00B31C17" w:rsidRDefault="002867BE" w:rsidP="00002C5B">
      <w:pPr>
        <w:pStyle w:val="ListParagraph"/>
        <w:numPr>
          <w:ilvl w:val="0"/>
          <w:numId w:val="1"/>
        </w:numPr>
        <w:rPr>
          <w:sz w:val="24"/>
          <w:szCs w:val="24"/>
        </w:rPr>
      </w:pPr>
      <w:r w:rsidRPr="00B31C17">
        <w:rPr>
          <w:sz w:val="24"/>
          <w:szCs w:val="24"/>
        </w:rPr>
        <w:t>Make sure your patient can read. Hand the ICF to them upside down….</w:t>
      </w:r>
    </w:p>
    <w:p w:rsidR="002867BE" w:rsidRPr="00B31C17" w:rsidRDefault="002867BE" w:rsidP="00002C5B">
      <w:pPr>
        <w:pStyle w:val="ListParagraph"/>
        <w:numPr>
          <w:ilvl w:val="0"/>
          <w:numId w:val="1"/>
        </w:numPr>
        <w:rPr>
          <w:sz w:val="24"/>
          <w:szCs w:val="24"/>
        </w:rPr>
      </w:pPr>
      <w:r w:rsidRPr="00B31C17">
        <w:rPr>
          <w:sz w:val="24"/>
          <w:szCs w:val="24"/>
        </w:rPr>
        <w:t xml:space="preserve">Make sure the patient knows their signature signifies that they have read and understand ICF and that all their questions have been answered. </w:t>
      </w:r>
    </w:p>
    <w:p w:rsidR="002867BE" w:rsidRPr="00B31C17" w:rsidRDefault="002867BE" w:rsidP="00002C5B">
      <w:pPr>
        <w:pStyle w:val="ListParagraph"/>
        <w:numPr>
          <w:ilvl w:val="0"/>
          <w:numId w:val="1"/>
        </w:numPr>
        <w:rPr>
          <w:sz w:val="24"/>
          <w:szCs w:val="24"/>
        </w:rPr>
      </w:pPr>
      <w:r w:rsidRPr="00B31C17">
        <w:rPr>
          <w:sz w:val="24"/>
          <w:szCs w:val="24"/>
        </w:rPr>
        <w:t>Know the LAR process and who can sign.</w:t>
      </w:r>
    </w:p>
    <w:p w:rsidR="00002C5B" w:rsidRPr="00B31C17" w:rsidRDefault="00002C5B" w:rsidP="00002C5B">
      <w:pPr>
        <w:pStyle w:val="ListParagraph"/>
        <w:numPr>
          <w:ilvl w:val="0"/>
          <w:numId w:val="1"/>
        </w:numPr>
        <w:rPr>
          <w:sz w:val="24"/>
          <w:szCs w:val="24"/>
        </w:rPr>
      </w:pPr>
      <w:r w:rsidRPr="00B31C17">
        <w:rPr>
          <w:sz w:val="24"/>
          <w:szCs w:val="24"/>
        </w:rPr>
        <w:lastRenderedPageBreak/>
        <w:t>Be familiar with children and the assent ages. Also</w:t>
      </w:r>
      <w:r w:rsidR="00945564" w:rsidRPr="00B31C17">
        <w:rPr>
          <w:sz w:val="24"/>
          <w:szCs w:val="24"/>
        </w:rPr>
        <w:t>,</w:t>
      </w:r>
      <w:r w:rsidRPr="00B31C17">
        <w:rPr>
          <w:sz w:val="24"/>
          <w:szCs w:val="24"/>
        </w:rPr>
        <w:t xml:space="preserve"> know just because the child assents they can waive their assent at any time as well.</w:t>
      </w:r>
    </w:p>
    <w:p w:rsidR="00002C5B" w:rsidRPr="00B31C17" w:rsidRDefault="00002C5B" w:rsidP="00002C5B">
      <w:pPr>
        <w:pStyle w:val="ListParagraph"/>
        <w:numPr>
          <w:ilvl w:val="0"/>
          <w:numId w:val="1"/>
        </w:numPr>
        <w:rPr>
          <w:sz w:val="24"/>
          <w:szCs w:val="24"/>
        </w:rPr>
      </w:pPr>
      <w:r w:rsidRPr="00B31C17">
        <w:rPr>
          <w:sz w:val="24"/>
          <w:szCs w:val="24"/>
        </w:rPr>
        <w:t xml:space="preserve">Be familiar with the withdrawal process and what is performed and can be used. </w:t>
      </w:r>
    </w:p>
    <w:p w:rsidR="00002C5B" w:rsidRPr="00B31C17" w:rsidRDefault="00002C5B" w:rsidP="00002C5B">
      <w:pPr>
        <w:pStyle w:val="ListParagraph"/>
        <w:numPr>
          <w:ilvl w:val="0"/>
          <w:numId w:val="1"/>
        </w:numPr>
        <w:rPr>
          <w:sz w:val="24"/>
          <w:szCs w:val="24"/>
        </w:rPr>
      </w:pPr>
      <w:r w:rsidRPr="00B31C17">
        <w:rPr>
          <w:sz w:val="24"/>
          <w:szCs w:val="24"/>
        </w:rPr>
        <w:t xml:space="preserve">Understand MDs can pressure patients but NO means NO. </w:t>
      </w:r>
    </w:p>
    <w:p w:rsidR="00002C5B" w:rsidRPr="00B31C17" w:rsidRDefault="00002C5B" w:rsidP="00002C5B">
      <w:pPr>
        <w:pStyle w:val="ListParagraph"/>
        <w:numPr>
          <w:ilvl w:val="0"/>
          <w:numId w:val="1"/>
        </w:numPr>
        <w:rPr>
          <w:sz w:val="24"/>
          <w:szCs w:val="24"/>
        </w:rPr>
      </w:pPr>
      <w:r w:rsidRPr="00B31C17">
        <w:rPr>
          <w:sz w:val="24"/>
          <w:szCs w:val="24"/>
        </w:rPr>
        <w:t>Patients can withdraw at any point and ALWAYS SAFETY comes FIRST!!!</w:t>
      </w:r>
    </w:p>
    <w:p w:rsidR="00002C5B" w:rsidRDefault="00002C5B" w:rsidP="00002C5B">
      <w:pPr>
        <w:pStyle w:val="ListParagraph"/>
        <w:numPr>
          <w:ilvl w:val="0"/>
          <w:numId w:val="1"/>
        </w:numPr>
        <w:rPr>
          <w:sz w:val="24"/>
          <w:szCs w:val="24"/>
        </w:rPr>
      </w:pPr>
      <w:r w:rsidRPr="00B31C17">
        <w:rPr>
          <w:sz w:val="24"/>
          <w:szCs w:val="24"/>
        </w:rPr>
        <w:t>Be sure to explain medical technology/procedures so that the patient can fully understand.</w:t>
      </w:r>
    </w:p>
    <w:p w:rsidR="009754F3" w:rsidRDefault="009754F3" w:rsidP="009754F3">
      <w:pPr>
        <w:pStyle w:val="ListParagraph"/>
        <w:numPr>
          <w:ilvl w:val="0"/>
          <w:numId w:val="1"/>
        </w:numPr>
        <w:rPr>
          <w:sz w:val="24"/>
          <w:szCs w:val="24"/>
        </w:rPr>
      </w:pPr>
      <w:r w:rsidRPr="009754F3">
        <w:rPr>
          <w:sz w:val="24"/>
          <w:szCs w:val="24"/>
        </w:rPr>
        <w:t>Any changes to a signature or the dates for corrections, etc., should be initialed and dated by the person making the change at the time the change is made. Use a single-line cross-out that does not obscure the original entry.</w:t>
      </w:r>
    </w:p>
    <w:p w:rsidR="00352190" w:rsidRPr="00352190" w:rsidRDefault="005A1035">
      <w:pPr>
        <w:rPr>
          <w:sz w:val="24"/>
          <w:szCs w:val="24"/>
        </w:rPr>
      </w:pPr>
      <w:r>
        <w:rPr>
          <w:sz w:val="24"/>
          <w:szCs w:val="24"/>
        </w:rPr>
        <w:tab/>
      </w:r>
      <w:r>
        <w:rPr>
          <w:noProof/>
          <w:sz w:val="24"/>
          <w:szCs w:val="24"/>
        </w:rPr>
        <w:drawing>
          <wp:inline distT="0" distB="0" distL="0" distR="0">
            <wp:extent cx="3574774" cy="790575"/>
            <wp:effectExtent l="19050" t="19050" r="260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9599" cy="811546"/>
                    </a:xfrm>
                    <a:prstGeom prst="rect">
                      <a:avLst/>
                    </a:prstGeom>
                    <a:noFill/>
                    <a:ln>
                      <a:solidFill>
                        <a:schemeClr val="accent1"/>
                      </a:solidFill>
                    </a:ln>
                  </pic:spPr>
                </pic:pic>
              </a:graphicData>
            </a:graphic>
          </wp:inline>
        </w:drawing>
      </w:r>
    </w:p>
    <w:sectPr w:rsidR="00352190" w:rsidRPr="003521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A31" w:rsidRDefault="005D4A31" w:rsidP="005D4A31">
      <w:pPr>
        <w:spacing w:after="0" w:line="240" w:lineRule="auto"/>
      </w:pPr>
      <w:r>
        <w:separator/>
      </w:r>
    </w:p>
  </w:endnote>
  <w:endnote w:type="continuationSeparator" w:id="0">
    <w:p w:rsidR="005D4A31" w:rsidRDefault="005D4A31" w:rsidP="005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31" w:rsidRDefault="005D4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31" w:rsidRDefault="00BB5913">
    <w:pPr>
      <w:pStyle w:val="Footer"/>
    </w:pPr>
    <w:r>
      <w:t>Informed Consenting Best Practices</w:t>
    </w:r>
  </w:p>
  <w:p w:rsidR="00BB5913" w:rsidRDefault="00BB5913">
    <w:pPr>
      <w:pStyle w:val="Footer"/>
    </w:pPr>
    <w:r>
      <w:t xml:space="preserve">Version date </w:t>
    </w:r>
    <w:r>
      <w:t>1/22/2021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31" w:rsidRDefault="005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A31" w:rsidRDefault="005D4A31" w:rsidP="005D4A31">
      <w:pPr>
        <w:spacing w:after="0" w:line="240" w:lineRule="auto"/>
      </w:pPr>
      <w:r>
        <w:separator/>
      </w:r>
    </w:p>
  </w:footnote>
  <w:footnote w:type="continuationSeparator" w:id="0">
    <w:p w:rsidR="005D4A31" w:rsidRDefault="005D4A31" w:rsidP="005D4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31" w:rsidRDefault="005D4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31" w:rsidRDefault="005D4A31" w:rsidP="005D4A31">
    <w:pPr>
      <w:pStyle w:val="Footer"/>
      <w:jc w:val="right"/>
    </w:pPr>
    <w:r w:rsidRPr="007017CA">
      <w:rPr>
        <w:rFonts w:ascii="Arial" w:hAnsi="Arial" w:cs="Arial"/>
        <w:b/>
        <w:noProof/>
        <w:sz w:val="18"/>
        <w:szCs w:val="18"/>
      </w:rPr>
      <w:drawing>
        <wp:inline distT="0" distB="0" distL="0" distR="0" wp14:anchorId="532A6746" wp14:editId="1CC8B8C1">
          <wp:extent cx="204787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TS_icon_new.jpg"/>
                  <pic:cNvPicPr/>
                </pic:nvPicPr>
                <pic:blipFill>
                  <a:blip r:embed="rId1">
                    <a:extLst>
                      <a:ext uri="{28A0092B-C50C-407E-A947-70E740481C1C}">
                        <a14:useLocalDpi xmlns:a14="http://schemas.microsoft.com/office/drawing/2010/main" val="0"/>
                      </a:ext>
                    </a:extLst>
                  </a:blip>
                  <a:stretch>
                    <a:fillRect/>
                  </a:stretch>
                </pic:blipFill>
                <pic:spPr>
                  <a:xfrm>
                    <a:off x="0" y="0"/>
                    <a:ext cx="2053988" cy="640080"/>
                  </a:xfrm>
                  <a:prstGeom prst="rect">
                    <a:avLst/>
                  </a:prstGeom>
                </pic:spPr>
              </pic:pic>
            </a:graphicData>
          </a:graphic>
        </wp:inline>
      </w:drawing>
    </w:r>
  </w:p>
  <w:p w:rsidR="005D4A31" w:rsidRDefault="005D4A31" w:rsidP="005D4A31">
    <w:pPr>
      <w:pStyle w:val="Header"/>
      <w:jc w:val="right"/>
    </w:pPr>
    <w:r w:rsidRPr="00347FE1">
      <w:rPr>
        <w:b/>
        <w:sz w:val="18"/>
        <w:szCs w:val="18"/>
      </w:rPr>
      <w:t>CRSP</w:t>
    </w:r>
    <w:r w:rsidRPr="00347FE1">
      <w:rPr>
        <w:b/>
        <w:sz w:val="16"/>
        <w:szCs w:val="16"/>
      </w:rPr>
      <w:t xml:space="preserve"> Clinical Research Support Program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31" w:rsidRDefault="005D4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B4DCE"/>
    <w:multiLevelType w:val="hybridMultilevel"/>
    <w:tmpl w:val="B75A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90"/>
    <w:rsid w:val="00002C5B"/>
    <w:rsid w:val="00231061"/>
    <w:rsid w:val="002867BE"/>
    <w:rsid w:val="00352190"/>
    <w:rsid w:val="005A1035"/>
    <w:rsid w:val="005D4A31"/>
    <w:rsid w:val="005D6DE0"/>
    <w:rsid w:val="00831DD6"/>
    <w:rsid w:val="0084551C"/>
    <w:rsid w:val="00846222"/>
    <w:rsid w:val="00945564"/>
    <w:rsid w:val="009754F3"/>
    <w:rsid w:val="00987F76"/>
    <w:rsid w:val="00A670AE"/>
    <w:rsid w:val="00AC6D9A"/>
    <w:rsid w:val="00AD6557"/>
    <w:rsid w:val="00AE3091"/>
    <w:rsid w:val="00B31C17"/>
    <w:rsid w:val="00BB5913"/>
    <w:rsid w:val="00D302CB"/>
    <w:rsid w:val="00DB3477"/>
    <w:rsid w:val="00EF7538"/>
    <w:rsid w:val="00FC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B986"/>
  <w15:docId w15:val="{B7CBA6B4-949B-4935-9362-4335A71D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C5B"/>
    <w:pPr>
      <w:ind w:left="720"/>
      <w:contextualSpacing/>
    </w:pPr>
  </w:style>
  <w:style w:type="paragraph" w:styleId="Header">
    <w:name w:val="header"/>
    <w:basedOn w:val="Normal"/>
    <w:link w:val="HeaderChar"/>
    <w:uiPriority w:val="99"/>
    <w:unhideWhenUsed/>
    <w:rsid w:val="005D4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A31"/>
  </w:style>
  <w:style w:type="paragraph" w:styleId="Footer">
    <w:name w:val="footer"/>
    <w:basedOn w:val="Normal"/>
    <w:link w:val="FooterChar"/>
    <w:unhideWhenUsed/>
    <w:rsid w:val="005D4A31"/>
    <w:pPr>
      <w:tabs>
        <w:tab w:val="center" w:pos="4680"/>
        <w:tab w:val="right" w:pos="9360"/>
      </w:tabs>
      <w:spacing w:after="0" w:line="240" w:lineRule="auto"/>
    </w:pPr>
  </w:style>
  <w:style w:type="character" w:customStyle="1" w:styleId="FooterChar">
    <w:name w:val="Footer Char"/>
    <w:basedOn w:val="DefaultParagraphFont"/>
    <w:link w:val="Footer"/>
    <w:rsid w:val="005D4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UAB Medicine</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ccts-clinical</dc:creator>
  <cp:lastModifiedBy>Corvalan, Rhonda</cp:lastModifiedBy>
  <cp:revision>4</cp:revision>
  <dcterms:created xsi:type="dcterms:W3CDTF">2021-01-22T21:17:00Z</dcterms:created>
  <dcterms:modified xsi:type="dcterms:W3CDTF">2021-01-22T21:18:00Z</dcterms:modified>
</cp:coreProperties>
</file>