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1E715" w14:textId="77777777" w:rsidR="009D3809" w:rsidRPr="009D3809" w:rsidRDefault="009D3809" w:rsidP="00114EF1">
      <w:pPr>
        <w:rPr>
          <w:rFonts w:ascii="Arial" w:hAnsi="Arial" w:cs="Arial"/>
          <w:b/>
          <w:u w:val="single"/>
        </w:rPr>
      </w:pPr>
      <w:bookmarkStart w:id="0" w:name="_GoBack"/>
      <w:bookmarkEnd w:id="0"/>
    </w:p>
    <w:p w14:paraId="0F51E716" w14:textId="77777777" w:rsidR="00F44AA6" w:rsidRPr="0062047B" w:rsidRDefault="009D3809" w:rsidP="00F44AA6">
      <w:pPr>
        <w:jc w:val="center"/>
        <w:rPr>
          <w:rFonts w:ascii="Arial" w:hAnsi="Arial" w:cs="Arial"/>
          <w:b/>
          <w:i/>
          <w:sz w:val="22"/>
          <w:szCs w:val="22"/>
        </w:rPr>
      </w:pPr>
      <w:r w:rsidRPr="0062047B">
        <w:rPr>
          <w:rFonts w:ascii="Arial" w:hAnsi="Arial" w:cs="Arial"/>
          <w:b/>
          <w:i/>
          <w:sz w:val="22"/>
          <w:szCs w:val="22"/>
        </w:rPr>
        <w:t>TITLE:</w:t>
      </w:r>
      <w:r w:rsidR="00F44AA6" w:rsidRPr="0062047B">
        <w:rPr>
          <w:rFonts w:ascii="Arial" w:hAnsi="Arial" w:cs="Arial"/>
          <w:b/>
          <w:i/>
          <w:sz w:val="22"/>
          <w:szCs w:val="22"/>
        </w:rPr>
        <w:t xml:space="preserve"> </w:t>
      </w:r>
      <w:r w:rsidR="000760B1">
        <w:rPr>
          <w:rFonts w:ascii="Arial" w:hAnsi="Arial" w:cs="Arial"/>
          <w:b/>
          <w:i/>
          <w:sz w:val="22"/>
          <w:szCs w:val="22"/>
        </w:rPr>
        <w:t>Budget and Contract Process</w:t>
      </w:r>
    </w:p>
    <w:p w14:paraId="0F51E717" w14:textId="77777777" w:rsidR="007A3D6B" w:rsidRPr="0062047B" w:rsidRDefault="007A3D6B" w:rsidP="00F44AA6">
      <w:pPr>
        <w:jc w:val="center"/>
        <w:rPr>
          <w:rFonts w:ascii="Arial" w:hAnsi="Arial" w:cs="Arial"/>
          <w:b/>
          <w:i/>
          <w:sz w:val="22"/>
          <w:szCs w:val="22"/>
        </w:rPr>
      </w:pPr>
    </w:p>
    <w:p w14:paraId="0F51E718" w14:textId="222EDCA3"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SOP </w:t>
      </w:r>
      <w:r w:rsidRPr="00114EF1">
        <w:rPr>
          <w:rFonts w:ascii="Arial" w:hAnsi="Arial" w:cs="Arial"/>
          <w:b/>
          <w:i/>
          <w:sz w:val="22"/>
          <w:szCs w:val="22"/>
        </w:rPr>
        <w:t>Version</w:t>
      </w:r>
      <w:r w:rsidRPr="0062047B">
        <w:rPr>
          <w:rFonts w:ascii="Arial" w:hAnsi="Arial" w:cs="Arial"/>
          <w:b/>
          <w:i/>
          <w:sz w:val="22"/>
          <w:szCs w:val="22"/>
        </w:rPr>
        <w:t xml:space="preserve"> #</w:t>
      </w:r>
      <w:r w:rsidR="00114EF1">
        <w:rPr>
          <w:rFonts w:ascii="Arial" w:hAnsi="Arial" w:cs="Arial"/>
          <w:b/>
          <w:i/>
          <w:sz w:val="22"/>
          <w:szCs w:val="22"/>
        </w:rPr>
        <w:t xml:space="preserve"> </w:t>
      </w:r>
    </w:p>
    <w:p w14:paraId="0F51E719" w14:textId="77777777" w:rsidR="007A3D6B" w:rsidRPr="0062047B" w:rsidRDefault="007A3D6B" w:rsidP="007A3D6B">
      <w:pPr>
        <w:rPr>
          <w:rFonts w:ascii="Arial" w:hAnsi="Arial" w:cs="Arial"/>
          <w:b/>
          <w:i/>
          <w:sz w:val="22"/>
          <w:szCs w:val="22"/>
        </w:rPr>
      </w:pPr>
    </w:p>
    <w:p w14:paraId="0F51E71A" w14:textId="7AD31FA5" w:rsidR="007A3D6B" w:rsidRPr="0062047B" w:rsidRDefault="007A3D6B" w:rsidP="007A3D6B">
      <w:pPr>
        <w:rPr>
          <w:rFonts w:ascii="Arial" w:hAnsi="Arial" w:cs="Arial"/>
          <w:b/>
          <w:i/>
          <w:sz w:val="22"/>
          <w:szCs w:val="22"/>
        </w:rPr>
      </w:pPr>
      <w:r w:rsidRPr="0062047B">
        <w:rPr>
          <w:rFonts w:ascii="Arial" w:hAnsi="Arial" w:cs="Arial"/>
          <w:b/>
          <w:i/>
          <w:sz w:val="22"/>
          <w:szCs w:val="22"/>
        </w:rPr>
        <w:t>Author(s):</w:t>
      </w:r>
      <w:r w:rsidR="000760B1">
        <w:rPr>
          <w:rFonts w:ascii="Arial" w:hAnsi="Arial" w:cs="Arial"/>
          <w:b/>
          <w:i/>
          <w:sz w:val="22"/>
          <w:szCs w:val="22"/>
        </w:rPr>
        <w:t xml:space="preserve"> </w:t>
      </w:r>
    </w:p>
    <w:p w14:paraId="0F51E71B"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0F51E71C"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0F51E71D"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_______________________________________         ________________</w:t>
      </w:r>
    </w:p>
    <w:p w14:paraId="0F51E71E" w14:textId="77777777" w:rsidR="007A3D6B" w:rsidRPr="0062047B" w:rsidRDefault="007A3D6B" w:rsidP="007A3D6B">
      <w:pPr>
        <w:rPr>
          <w:rFonts w:ascii="Arial" w:hAnsi="Arial" w:cs="Arial"/>
          <w:b/>
          <w:i/>
          <w:sz w:val="22"/>
          <w:szCs w:val="22"/>
        </w:rPr>
      </w:pPr>
    </w:p>
    <w:p w14:paraId="0F51E71F"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0F51E720" w14:textId="77777777" w:rsidR="007A3D6B" w:rsidRPr="0062047B" w:rsidRDefault="007A3D6B" w:rsidP="007A3D6B">
      <w:pPr>
        <w:rPr>
          <w:rFonts w:ascii="Arial" w:hAnsi="Arial" w:cs="Arial"/>
          <w:b/>
          <w:i/>
          <w:sz w:val="22"/>
          <w:szCs w:val="22"/>
        </w:rPr>
      </w:pPr>
    </w:p>
    <w:p w14:paraId="0F51E721"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Revision Version</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Effective date</w:t>
      </w:r>
      <w:r w:rsidRPr="0062047B">
        <w:rPr>
          <w:rFonts w:ascii="Arial" w:hAnsi="Arial" w:cs="Arial"/>
          <w:b/>
          <w:i/>
          <w:sz w:val="22"/>
          <w:szCs w:val="22"/>
        </w:rPr>
        <w:tab/>
        <w:t>Description</w:t>
      </w:r>
    </w:p>
    <w:p w14:paraId="0F51E722"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F51E723"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F51E724"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F51E725" w14:textId="77777777" w:rsidR="007A3D6B" w:rsidRPr="0062047B" w:rsidRDefault="007A3D6B" w:rsidP="00F44AA6">
      <w:pPr>
        <w:jc w:val="center"/>
        <w:rPr>
          <w:rFonts w:ascii="Arial" w:hAnsi="Arial" w:cs="Arial"/>
          <w:b/>
          <w:i/>
          <w:sz w:val="22"/>
          <w:szCs w:val="22"/>
        </w:rPr>
      </w:pPr>
    </w:p>
    <w:p w14:paraId="0F51E726" w14:textId="77777777" w:rsidR="00F44AA6" w:rsidRPr="0062047B" w:rsidRDefault="00F44AA6" w:rsidP="00F44AA6">
      <w:pPr>
        <w:jc w:val="center"/>
        <w:rPr>
          <w:rFonts w:ascii="Arial" w:hAnsi="Arial" w:cs="Arial"/>
          <w:sz w:val="22"/>
          <w:szCs w:val="22"/>
        </w:rPr>
      </w:pPr>
    </w:p>
    <w:p w14:paraId="0F51E727" w14:textId="77777777" w:rsidR="00F44AA6" w:rsidRPr="0062047B" w:rsidRDefault="00F44AA6" w:rsidP="00F44AA6">
      <w:pPr>
        <w:tabs>
          <w:tab w:val="left" w:pos="720"/>
          <w:tab w:val="left" w:pos="1440"/>
        </w:tabs>
        <w:jc w:val="both"/>
        <w:rPr>
          <w:rFonts w:ascii="Arial" w:hAnsi="Arial" w:cs="Arial"/>
          <w:sz w:val="22"/>
          <w:szCs w:val="22"/>
        </w:rPr>
      </w:pPr>
    </w:p>
    <w:p w14:paraId="0F51E728" w14:textId="77777777" w:rsidR="00F44AA6" w:rsidRPr="0062047B" w:rsidRDefault="00AE4176" w:rsidP="00F44AA6">
      <w:pPr>
        <w:tabs>
          <w:tab w:val="left" w:pos="720"/>
          <w:tab w:val="left" w:pos="1440"/>
        </w:tabs>
        <w:jc w:val="both"/>
        <w:outlineLvl w:val="0"/>
        <w:rPr>
          <w:rFonts w:ascii="Arial" w:hAnsi="Arial" w:cs="Arial"/>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0054263F" w:rsidRPr="0062047B">
        <w:rPr>
          <w:rFonts w:ascii="Arial" w:hAnsi="Arial" w:cs="Arial"/>
          <w:b/>
          <w:sz w:val="22"/>
          <w:szCs w:val="22"/>
        </w:rPr>
        <w:t xml:space="preserve"> </w:t>
      </w:r>
      <w:r w:rsidR="0054263F" w:rsidRPr="0062047B">
        <w:rPr>
          <w:rFonts w:ascii="Arial" w:hAnsi="Arial" w:cs="Arial"/>
          <w:sz w:val="22"/>
          <w:szCs w:val="22"/>
        </w:rPr>
        <w:t xml:space="preserve">The scope of </w:t>
      </w:r>
      <w:r w:rsidR="00406252" w:rsidRPr="0062047B">
        <w:rPr>
          <w:rFonts w:ascii="Arial" w:hAnsi="Arial" w:cs="Arial"/>
          <w:sz w:val="22"/>
          <w:szCs w:val="22"/>
        </w:rPr>
        <w:t xml:space="preserve">this </w:t>
      </w:r>
      <w:r w:rsidR="000760B1">
        <w:rPr>
          <w:rFonts w:ascii="Arial" w:hAnsi="Arial" w:cs="Arial"/>
          <w:sz w:val="22"/>
          <w:szCs w:val="22"/>
        </w:rPr>
        <w:t>SOP is to describe how the clinical trial budget and contract process</w:t>
      </w:r>
      <w:r w:rsidR="0054263F" w:rsidRPr="0062047B">
        <w:rPr>
          <w:rFonts w:ascii="Arial" w:hAnsi="Arial" w:cs="Arial"/>
          <w:sz w:val="22"/>
          <w:szCs w:val="22"/>
        </w:rPr>
        <w:t xml:space="preserve"> will be developed and managed </w:t>
      </w:r>
      <w:r w:rsidR="00DE68B4" w:rsidRPr="0062047B">
        <w:rPr>
          <w:rFonts w:ascii="Arial" w:hAnsi="Arial" w:cs="Arial"/>
          <w:sz w:val="22"/>
          <w:szCs w:val="22"/>
        </w:rPr>
        <w:t>by UAB research sites</w:t>
      </w:r>
      <w:r w:rsidR="000760B1">
        <w:rPr>
          <w:rFonts w:ascii="Arial" w:hAnsi="Arial" w:cs="Arial"/>
          <w:sz w:val="22"/>
          <w:szCs w:val="22"/>
        </w:rPr>
        <w:t>.</w:t>
      </w:r>
      <w:r w:rsidR="00153E59" w:rsidRPr="0062047B">
        <w:rPr>
          <w:rFonts w:ascii="Arial" w:hAnsi="Arial" w:cs="Arial"/>
          <w:sz w:val="22"/>
          <w:szCs w:val="22"/>
        </w:rPr>
        <w:t xml:space="preserve">  </w:t>
      </w:r>
      <w:r w:rsidR="00626A22" w:rsidRPr="0062047B">
        <w:rPr>
          <w:rFonts w:ascii="Arial" w:hAnsi="Arial" w:cs="Arial"/>
          <w:sz w:val="22"/>
          <w:szCs w:val="22"/>
        </w:rPr>
        <w:t xml:space="preserve">The purpose of SOPs is to assure consistency and rigor with the design, conduct and implementation of clinical trials </w:t>
      </w:r>
      <w:r w:rsidR="00DE68B4" w:rsidRPr="0062047B">
        <w:rPr>
          <w:rFonts w:ascii="Arial" w:hAnsi="Arial" w:cs="Arial"/>
          <w:sz w:val="22"/>
          <w:szCs w:val="22"/>
        </w:rPr>
        <w:t>at UAB</w:t>
      </w:r>
      <w:r w:rsidR="00626A22" w:rsidRPr="0062047B">
        <w:rPr>
          <w:rFonts w:ascii="Arial" w:hAnsi="Arial" w:cs="Arial"/>
          <w:sz w:val="22"/>
          <w:szCs w:val="22"/>
        </w:rPr>
        <w:t xml:space="preserve"> by providing standards and guidelines for the staff.</w:t>
      </w:r>
      <w:r w:rsidR="00DE68B4" w:rsidRPr="0062047B">
        <w:rPr>
          <w:rFonts w:ascii="Arial" w:hAnsi="Arial" w:cs="Arial"/>
          <w:sz w:val="22"/>
          <w:szCs w:val="22"/>
        </w:rPr>
        <w:t xml:space="preserve">  This SOP will describe the development and implementation of SOPs by the </w:t>
      </w:r>
      <w:r w:rsidR="00016BD5" w:rsidRPr="0062047B">
        <w:rPr>
          <w:rFonts w:ascii="Arial" w:hAnsi="Arial" w:cs="Arial"/>
          <w:sz w:val="22"/>
          <w:szCs w:val="22"/>
        </w:rPr>
        <w:t>CTO Research</w:t>
      </w:r>
      <w:r w:rsidR="00DE68B4" w:rsidRPr="0062047B">
        <w:rPr>
          <w:rFonts w:ascii="Arial" w:hAnsi="Arial" w:cs="Arial"/>
          <w:sz w:val="22"/>
          <w:szCs w:val="22"/>
        </w:rPr>
        <w:t xml:space="preserve"> Group SOP </w:t>
      </w:r>
      <w:r w:rsidR="00016BD5" w:rsidRPr="0062047B">
        <w:rPr>
          <w:rFonts w:ascii="Arial" w:hAnsi="Arial" w:cs="Arial"/>
          <w:sz w:val="22"/>
          <w:szCs w:val="22"/>
        </w:rPr>
        <w:t>Committee</w:t>
      </w:r>
      <w:r w:rsidR="00DE68B4" w:rsidRPr="0062047B">
        <w:rPr>
          <w:rFonts w:ascii="Arial" w:hAnsi="Arial" w:cs="Arial"/>
          <w:sz w:val="22"/>
          <w:szCs w:val="22"/>
        </w:rPr>
        <w:t>.</w:t>
      </w:r>
    </w:p>
    <w:p w14:paraId="0F51E729" w14:textId="77777777" w:rsidR="00C8007C" w:rsidRPr="0062047B" w:rsidRDefault="00C8007C" w:rsidP="00F44AA6">
      <w:pPr>
        <w:tabs>
          <w:tab w:val="left" w:pos="720"/>
          <w:tab w:val="left" w:pos="1440"/>
        </w:tabs>
        <w:jc w:val="both"/>
        <w:outlineLvl w:val="0"/>
        <w:rPr>
          <w:rFonts w:ascii="Arial" w:hAnsi="Arial" w:cs="Arial"/>
          <w:b/>
          <w:sz w:val="22"/>
          <w:szCs w:val="22"/>
        </w:rPr>
      </w:pPr>
    </w:p>
    <w:p w14:paraId="0F51E72A" w14:textId="77777777" w:rsidR="00C8007C" w:rsidRPr="0062047B" w:rsidRDefault="00C8007C" w:rsidP="00F44AA6">
      <w:pPr>
        <w:tabs>
          <w:tab w:val="left" w:pos="720"/>
          <w:tab w:val="left" w:pos="1440"/>
        </w:tabs>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0F51E72B" w14:textId="77777777" w:rsidR="00C8007C" w:rsidRPr="0062047B" w:rsidRDefault="00C8007C" w:rsidP="00F44AA6">
      <w:pPr>
        <w:jc w:val="both"/>
        <w:outlineLvl w:val="0"/>
        <w:rPr>
          <w:rFonts w:ascii="Arial" w:hAnsi="Arial" w:cs="Arial"/>
          <w:sz w:val="22"/>
          <w:szCs w:val="22"/>
        </w:rPr>
      </w:pPr>
      <w:r w:rsidRPr="0062047B">
        <w:rPr>
          <w:rFonts w:ascii="Arial" w:hAnsi="Arial" w:cs="Arial"/>
          <w:sz w:val="22"/>
          <w:szCs w:val="22"/>
        </w:rPr>
        <w:t>This SOP will be adhere</w:t>
      </w:r>
      <w:r w:rsidR="009869B2" w:rsidRPr="0062047B">
        <w:rPr>
          <w:rFonts w:ascii="Arial" w:hAnsi="Arial" w:cs="Arial"/>
          <w:sz w:val="22"/>
          <w:szCs w:val="22"/>
        </w:rPr>
        <w:t xml:space="preserve">d </w:t>
      </w:r>
      <w:r w:rsidR="00704056">
        <w:rPr>
          <w:rFonts w:ascii="Arial" w:hAnsi="Arial" w:cs="Arial"/>
          <w:sz w:val="22"/>
          <w:szCs w:val="22"/>
        </w:rPr>
        <w:t xml:space="preserve">to </w:t>
      </w:r>
      <w:r w:rsidR="009869B2" w:rsidRPr="0062047B">
        <w:rPr>
          <w:rFonts w:ascii="Arial" w:hAnsi="Arial" w:cs="Arial"/>
          <w:sz w:val="22"/>
          <w:szCs w:val="22"/>
        </w:rPr>
        <w:t xml:space="preserve">unless exceptions are required.  Exceptions will be noted in a formal note to file (see relevant SOP).  </w:t>
      </w:r>
    </w:p>
    <w:p w14:paraId="0F51E72C" w14:textId="77777777" w:rsidR="00C8007C" w:rsidRPr="0062047B" w:rsidRDefault="00C8007C" w:rsidP="00F44AA6">
      <w:pPr>
        <w:jc w:val="both"/>
        <w:outlineLvl w:val="0"/>
        <w:rPr>
          <w:rFonts w:ascii="Arial" w:hAnsi="Arial" w:cs="Arial"/>
          <w:b/>
          <w:sz w:val="22"/>
          <w:szCs w:val="22"/>
        </w:rPr>
      </w:pPr>
    </w:p>
    <w:p w14:paraId="0F51E72D" w14:textId="77777777" w:rsidR="003A71A1" w:rsidRPr="0062047B" w:rsidRDefault="003A71A1" w:rsidP="00F44AA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/GCPS</w:t>
      </w:r>
    </w:p>
    <w:p w14:paraId="0F51E72E" w14:textId="77777777" w:rsidR="000760B1" w:rsidRDefault="000760B1" w:rsidP="00F44AA6">
      <w:pPr>
        <w:jc w:val="both"/>
        <w:outlineLvl w:val="0"/>
        <w:rPr>
          <w:rFonts w:ascii="Arial" w:hAnsi="Arial" w:cs="Arial"/>
          <w:sz w:val="22"/>
          <w:szCs w:val="22"/>
        </w:rPr>
      </w:pPr>
      <w:r>
        <w:rPr>
          <w:rFonts w:ascii="Arial" w:hAnsi="Arial" w:cs="Arial"/>
          <w:sz w:val="22"/>
          <w:szCs w:val="22"/>
        </w:rPr>
        <w:t>Sunshine Act, UAB F&amp;</w:t>
      </w:r>
      <w:proofErr w:type="gramStart"/>
      <w:r>
        <w:rPr>
          <w:rFonts w:ascii="Arial" w:hAnsi="Arial" w:cs="Arial"/>
          <w:sz w:val="22"/>
          <w:szCs w:val="22"/>
        </w:rPr>
        <w:t>A</w:t>
      </w:r>
      <w:proofErr w:type="gramEnd"/>
      <w:r>
        <w:rPr>
          <w:rFonts w:ascii="Arial" w:hAnsi="Arial" w:cs="Arial"/>
          <w:sz w:val="22"/>
          <w:szCs w:val="22"/>
        </w:rPr>
        <w:t xml:space="preserve"> Agreement, </w:t>
      </w:r>
      <w:r w:rsidR="00610204">
        <w:rPr>
          <w:rFonts w:ascii="Arial" w:hAnsi="Arial" w:cs="Arial"/>
          <w:sz w:val="22"/>
          <w:szCs w:val="22"/>
        </w:rPr>
        <w:t>National Coverage Determination (NCD 310.1)</w:t>
      </w:r>
      <w:r w:rsidR="00753235">
        <w:rPr>
          <w:rFonts w:ascii="Arial" w:hAnsi="Arial" w:cs="Arial"/>
          <w:sz w:val="22"/>
          <w:szCs w:val="22"/>
        </w:rPr>
        <w:t>, Affordable Care Act</w:t>
      </w:r>
    </w:p>
    <w:p w14:paraId="0F51E72F" w14:textId="77777777" w:rsidR="00F44AA6" w:rsidRPr="0062047B" w:rsidRDefault="00F44AA6" w:rsidP="00F44AA6">
      <w:pPr>
        <w:jc w:val="both"/>
        <w:outlineLvl w:val="0"/>
        <w:rPr>
          <w:rFonts w:ascii="Arial" w:hAnsi="Arial" w:cs="Arial"/>
          <w:b/>
          <w:sz w:val="22"/>
          <w:szCs w:val="22"/>
        </w:rPr>
      </w:pPr>
      <w:r w:rsidRPr="0062047B">
        <w:rPr>
          <w:rFonts w:ascii="Arial" w:hAnsi="Arial" w:cs="Arial"/>
          <w:b/>
          <w:sz w:val="22"/>
          <w:szCs w:val="22"/>
        </w:rPr>
        <w:tab/>
      </w:r>
    </w:p>
    <w:p w14:paraId="0F51E730" w14:textId="77777777" w:rsidR="00F44AA6" w:rsidRPr="0062047B" w:rsidRDefault="00F44AA6" w:rsidP="003A71A1">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0F51E731" w14:textId="77777777" w:rsidR="00753235" w:rsidRPr="0062047B" w:rsidRDefault="00753235" w:rsidP="00F44AA6">
      <w:pPr>
        <w:jc w:val="both"/>
        <w:rPr>
          <w:rFonts w:ascii="Arial" w:hAnsi="Arial" w:cs="Arial"/>
          <w:sz w:val="22"/>
          <w:szCs w:val="22"/>
        </w:rPr>
      </w:pPr>
      <w:r>
        <w:rPr>
          <w:rFonts w:ascii="Arial" w:hAnsi="Arial" w:cs="Arial"/>
          <w:sz w:val="22"/>
          <w:szCs w:val="22"/>
        </w:rPr>
        <w:t>CTA     Clinical Trials Agreement</w:t>
      </w:r>
    </w:p>
    <w:p w14:paraId="0F51E732" w14:textId="77777777" w:rsidR="00DE68B4" w:rsidRDefault="00DE68B4" w:rsidP="00F44AA6">
      <w:pPr>
        <w:jc w:val="both"/>
        <w:rPr>
          <w:rFonts w:ascii="Arial" w:hAnsi="Arial" w:cs="Arial"/>
          <w:sz w:val="22"/>
          <w:szCs w:val="22"/>
        </w:rPr>
      </w:pPr>
      <w:r w:rsidRPr="0062047B">
        <w:rPr>
          <w:rFonts w:ascii="Arial" w:hAnsi="Arial" w:cs="Arial"/>
          <w:sz w:val="22"/>
          <w:szCs w:val="22"/>
        </w:rPr>
        <w:t>CTO</w:t>
      </w:r>
      <w:r w:rsidRPr="0062047B">
        <w:rPr>
          <w:rFonts w:ascii="Arial" w:hAnsi="Arial" w:cs="Arial"/>
          <w:sz w:val="22"/>
          <w:szCs w:val="22"/>
        </w:rPr>
        <w:tab/>
        <w:t>Clinical Trials Office</w:t>
      </w:r>
    </w:p>
    <w:p w14:paraId="0F51E733" w14:textId="77777777" w:rsidR="001B723F" w:rsidRDefault="001B723F" w:rsidP="00F44AA6">
      <w:pPr>
        <w:jc w:val="both"/>
        <w:rPr>
          <w:rFonts w:ascii="Arial" w:hAnsi="Arial" w:cs="Arial"/>
          <w:sz w:val="22"/>
          <w:szCs w:val="22"/>
        </w:rPr>
      </w:pPr>
      <w:r>
        <w:rPr>
          <w:rFonts w:ascii="Arial" w:hAnsi="Arial" w:cs="Arial"/>
          <w:sz w:val="22"/>
          <w:szCs w:val="22"/>
        </w:rPr>
        <w:t>CRO   Clinical Research Organization</w:t>
      </w:r>
    </w:p>
    <w:p w14:paraId="0F51E734" w14:textId="77777777" w:rsidR="001B723F" w:rsidRDefault="001B723F" w:rsidP="00F44AA6">
      <w:pPr>
        <w:jc w:val="both"/>
        <w:rPr>
          <w:rFonts w:ascii="Arial" w:hAnsi="Arial" w:cs="Arial"/>
          <w:sz w:val="22"/>
          <w:szCs w:val="22"/>
        </w:rPr>
      </w:pPr>
      <w:r>
        <w:rPr>
          <w:rFonts w:ascii="Arial" w:hAnsi="Arial" w:cs="Arial"/>
          <w:sz w:val="22"/>
          <w:szCs w:val="22"/>
        </w:rPr>
        <w:t>CMS   Center for Medicare Services</w:t>
      </w:r>
    </w:p>
    <w:p w14:paraId="0F51E735" w14:textId="77777777" w:rsidR="009A444A" w:rsidRDefault="009A444A" w:rsidP="00F44AA6">
      <w:pPr>
        <w:jc w:val="both"/>
        <w:rPr>
          <w:rFonts w:ascii="Arial" w:hAnsi="Arial" w:cs="Arial"/>
          <w:sz w:val="22"/>
          <w:szCs w:val="22"/>
        </w:rPr>
      </w:pPr>
      <w:r>
        <w:rPr>
          <w:rFonts w:ascii="Arial" w:hAnsi="Arial" w:cs="Arial"/>
          <w:sz w:val="22"/>
          <w:szCs w:val="22"/>
        </w:rPr>
        <w:t>FAP     Fiscal Approval Process</w:t>
      </w:r>
    </w:p>
    <w:p w14:paraId="0F51E736" w14:textId="77777777" w:rsidR="00753235" w:rsidRPr="0062047B" w:rsidRDefault="00753235" w:rsidP="00F44AA6">
      <w:pPr>
        <w:jc w:val="both"/>
        <w:rPr>
          <w:rFonts w:ascii="Arial" w:hAnsi="Arial" w:cs="Arial"/>
          <w:sz w:val="22"/>
          <w:szCs w:val="22"/>
        </w:rPr>
      </w:pPr>
      <w:r w:rsidRPr="0062047B">
        <w:rPr>
          <w:rFonts w:ascii="Arial" w:hAnsi="Arial" w:cs="Arial"/>
          <w:sz w:val="22"/>
          <w:szCs w:val="22"/>
        </w:rPr>
        <w:t>SOP</w:t>
      </w:r>
      <w:r w:rsidRPr="0062047B">
        <w:rPr>
          <w:rFonts w:ascii="Arial" w:hAnsi="Arial" w:cs="Arial"/>
          <w:sz w:val="22"/>
          <w:szCs w:val="22"/>
        </w:rPr>
        <w:tab/>
        <w:t>Standard Operating Procedures</w:t>
      </w:r>
    </w:p>
    <w:p w14:paraId="0F51E737" w14:textId="77777777" w:rsidR="00626A22" w:rsidRPr="0062047B" w:rsidRDefault="00626A22" w:rsidP="00F44AA6">
      <w:pPr>
        <w:jc w:val="both"/>
        <w:rPr>
          <w:rFonts w:ascii="Arial" w:hAnsi="Arial" w:cs="Arial"/>
          <w:sz w:val="22"/>
          <w:szCs w:val="22"/>
        </w:rPr>
      </w:pPr>
    </w:p>
    <w:p w14:paraId="0F51E738" w14:textId="77777777" w:rsidR="00F44AA6" w:rsidRDefault="009869B2" w:rsidP="00F44AA6">
      <w:pPr>
        <w:jc w:val="both"/>
        <w:outlineLvl w:val="0"/>
        <w:rPr>
          <w:rFonts w:ascii="Arial" w:hAnsi="Arial" w:cs="Arial"/>
          <w:b/>
          <w:sz w:val="22"/>
          <w:szCs w:val="22"/>
        </w:rPr>
      </w:pPr>
      <w:r w:rsidRPr="0062047B">
        <w:rPr>
          <w:rFonts w:ascii="Arial" w:hAnsi="Arial" w:cs="Arial"/>
          <w:b/>
          <w:sz w:val="22"/>
          <w:szCs w:val="22"/>
        </w:rPr>
        <w:t>VI</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0F51E739" w14:textId="77777777" w:rsidR="000760B1" w:rsidRDefault="000760B1" w:rsidP="00F44AA6">
      <w:pPr>
        <w:jc w:val="both"/>
        <w:outlineLvl w:val="0"/>
        <w:rPr>
          <w:rFonts w:ascii="Arial" w:hAnsi="Arial" w:cs="Arial"/>
          <w:sz w:val="22"/>
          <w:szCs w:val="22"/>
        </w:rPr>
      </w:pPr>
      <w:r>
        <w:rPr>
          <w:rFonts w:ascii="Arial" w:hAnsi="Arial" w:cs="Arial"/>
          <w:sz w:val="22"/>
          <w:szCs w:val="22"/>
        </w:rPr>
        <w:t>Department Chair/Dean</w:t>
      </w:r>
    </w:p>
    <w:p w14:paraId="0F51E73A" w14:textId="77777777" w:rsidR="000760B1" w:rsidRDefault="000760B1" w:rsidP="00F44AA6">
      <w:pPr>
        <w:jc w:val="both"/>
        <w:outlineLvl w:val="0"/>
        <w:rPr>
          <w:rFonts w:ascii="Arial" w:hAnsi="Arial" w:cs="Arial"/>
          <w:sz w:val="22"/>
          <w:szCs w:val="22"/>
        </w:rPr>
      </w:pPr>
      <w:r>
        <w:rPr>
          <w:rFonts w:ascii="Arial" w:hAnsi="Arial" w:cs="Arial"/>
          <w:sz w:val="22"/>
          <w:szCs w:val="22"/>
        </w:rPr>
        <w:t>Department/Division Administrator</w:t>
      </w:r>
    </w:p>
    <w:p w14:paraId="0F51E73B" w14:textId="77777777" w:rsidR="000760B1" w:rsidRDefault="000760B1" w:rsidP="00F44AA6">
      <w:pPr>
        <w:jc w:val="both"/>
        <w:outlineLvl w:val="0"/>
        <w:rPr>
          <w:rFonts w:ascii="Arial" w:hAnsi="Arial" w:cs="Arial"/>
          <w:sz w:val="22"/>
          <w:szCs w:val="22"/>
        </w:rPr>
      </w:pPr>
      <w:r>
        <w:rPr>
          <w:rFonts w:ascii="Arial" w:hAnsi="Arial" w:cs="Arial"/>
          <w:sz w:val="22"/>
          <w:szCs w:val="22"/>
        </w:rPr>
        <w:t>Finance Administrator</w:t>
      </w:r>
    </w:p>
    <w:p w14:paraId="0F51E73C" w14:textId="77777777" w:rsidR="000760B1" w:rsidRPr="000760B1" w:rsidRDefault="000760B1" w:rsidP="00F44AA6">
      <w:pPr>
        <w:jc w:val="both"/>
        <w:outlineLvl w:val="0"/>
        <w:rPr>
          <w:rFonts w:ascii="Arial" w:hAnsi="Arial" w:cs="Arial"/>
          <w:sz w:val="22"/>
          <w:szCs w:val="22"/>
        </w:rPr>
      </w:pPr>
      <w:r>
        <w:rPr>
          <w:rFonts w:ascii="Arial" w:hAnsi="Arial" w:cs="Arial"/>
          <w:sz w:val="22"/>
          <w:szCs w:val="22"/>
        </w:rPr>
        <w:t>Coordinator(s)</w:t>
      </w:r>
    </w:p>
    <w:p w14:paraId="0F51E73D" w14:textId="77777777" w:rsidR="00144804" w:rsidRPr="0062047B" w:rsidRDefault="00144804" w:rsidP="00F44AA6">
      <w:pPr>
        <w:jc w:val="both"/>
        <w:rPr>
          <w:rFonts w:ascii="Arial" w:hAnsi="Arial" w:cs="Arial"/>
          <w:b/>
          <w:sz w:val="22"/>
          <w:szCs w:val="22"/>
        </w:rPr>
      </w:pPr>
    </w:p>
    <w:p w14:paraId="0F51E73E" w14:textId="77777777" w:rsidR="00F44AA6" w:rsidRPr="0062047B" w:rsidRDefault="00F44AA6" w:rsidP="003A71A1">
      <w:pPr>
        <w:jc w:val="both"/>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II</w:t>
      </w:r>
      <w:r w:rsidRPr="0062047B">
        <w:rPr>
          <w:rFonts w:ascii="Arial" w:hAnsi="Arial" w:cs="Arial"/>
          <w:b/>
          <w:sz w:val="22"/>
          <w:szCs w:val="22"/>
        </w:rPr>
        <w:t>.</w:t>
      </w:r>
      <w:r w:rsidRPr="0062047B">
        <w:rPr>
          <w:rFonts w:ascii="Arial" w:hAnsi="Arial" w:cs="Arial"/>
          <w:b/>
          <w:sz w:val="22"/>
          <w:szCs w:val="22"/>
        </w:rPr>
        <w:tab/>
        <w:t>DETAILS</w:t>
      </w:r>
    </w:p>
    <w:p w14:paraId="0F51E73F" w14:textId="77777777" w:rsidR="00F44AA6" w:rsidRPr="0062047B" w:rsidRDefault="00153E59" w:rsidP="00F44AA6">
      <w:pPr>
        <w:rPr>
          <w:rFonts w:ascii="Arial" w:hAnsi="Arial" w:cs="Arial"/>
          <w:sz w:val="22"/>
          <w:szCs w:val="22"/>
        </w:rPr>
      </w:pPr>
      <w:r w:rsidRPr="0062047B">
        <w:rPr>
          <w:rFonts w:ascii="Arial" w:hAnsi="Arial" w:cs="Arial"/>
          <w:sz w:val="22"/>
          <w:szCs w:val="22"/>
        </w:rPr>
        <w:t>The fo</w:t>
      </w:r>
      <w:r w:rsidR="001B723F">
        <w:rPr>
          <w:rFonts w:ascii="Arial" w:hAnsi="Arial" w:cs="Arial"/>
          <w:sz w:val="22"/>
          <w:szCs w:val="22"/>
        </w:rPr>
        <w:t>llowing is a description of</w:t>
      </w:r>
      <w:r w:rsidR="00804BDC">
        <w:rPr>
          <w:rFonts w:ascii="Arial" w:hAnsi="Arial" w:cs="Arial"/>
          <w:sz w:val="22"/>
          <w:szCs w:val="22"/>
        </w:rPr>
        <w:t xml:space="preserve"> the Budget and Contract Process </w:t>
      </w:r>
    </w:p>
    <w:p w14:paraId="0F51E740" w14:textId="77777777" w:rsidR="00626A22" w:rsidRPr="0062047B" w:rsidRDefault="00804BDC" w:rsidP="00626A22">
      <w:pPr>
        <w:pStyle w:val="ListParagraph"/>
        <w:numPr>
          <w:ilvl w:val="0"/>
          <w:numId w:val="8"/>
        </w:numPr>
        <w:rPr>
          <w:rFonts w:ascii="Arial" w:hAnsi="Arial" w:cs="Arial"/>
          <w:sz w:val="22"/>
          <w:szCs w:val="22"/>
        </w:rPr>
      </w:pPr>
      <w:r>
        <w:rPr>
          <w:rFonts w:ascii="Arial" w:hAnsi="Arial" w:cs="Arial"/>
          <w:sz w:val="22"/>
          <w:szCs w:val="22"/>
        </w:rPr>
        <w:t>Building the Budget</w:t>
      </w:r>
    </w:p>
    <w:p w14:paraId="0F51E741" w14:textId="77777777" w:rsidR="00804BDC" w:rsidRDefault="009A444A" w:rsidP="00804BDC">
      <w:pPr>
        <w:pStyle w:val="ListParagraph"/>
        <w:numPr>
          <w:ilvl w:val="0"/>
          <w:numId w:val="9"/>
        </w:numPr>
        <w:rPr>
          <w:rFonts w:ascii="Arial" w:hAnsi="Arial" w:cs="Arial"/>
          <w:sz w:val="22"/>
          <w:szCs w:val="22"/>
        </w:rPr>
      </w:pPr>
      <w:r>
        <w:rPr>
          <w:rFonts w:ascii="Arial" w:hAnsi="Arial" w:cs="Arial"/>
          <w:sz w:val="22"/>
          <w:szCs w:val="22"/>
        </w:rPr>
        <w:lastRenderedPageBreak/>
        <w:t>The study sponsor should provide the budget or a budget template</w:t>
      </w:r>
      <w:r w:rsidR="00804BDC" w:rsidRPr="00804BDC">
        <w:rPr>
          <w:rFonts w:ascii="Arial" w:hAnsi="Arial" w:cs="Arial"/>
          <w:sz w:val="22"/>
          <w:szCs w:val="22"/>
        </w:rPr>
        <w:t xml:space="preserve">. Budgets are then presented to research sites by the study sponsor or a designee (i.e. CRO). It is </w:t>
      </w:r>
      <w:r w:rsidR="00F151BB">
        <w:rPr>
          <w:rFonts w:ascii="Arial" w:hAnsi="Arial" w:cs="Arial"/>
          <w:sz w:val="22"/>
          <w:szCs w:val="22"/>
        </w:rPr>
        <w:t xml:space="preserve">typical for a sponsor to </w:t>
      </w:r>
      <w:r w:rsidR="00804BDC" w:rsidRPr="00804BDC">
        <w:rPr>
          <w:rFonts w:ascii="Arial" w:hAnsi="Arial" w:cs="Arial"/>
          <w:sz w:val="22"/>
          <w:szCs w:val="22"/>
        </w:rPr>
        <w:t>present a draft budget to candidate sites at an early stage of site recruitment. The process of qualifying a site and the effort required to execute a site contract can be lengthy and time consuming. Therefore, it is best to know early in the pro</w:t>
      </w:r>
      <w:r w:rsidR="00F151BB">
        <w:rPr>
          <w:rFonts w:ascii="Arial" w:hAnsi="Arial" w:cs="Arial"/>
          <w:sz w:val="22"/>
          <w:szCs w:val="22"/>
        </w:rPr>
        <w:t>cess if the site feels that the</w:t>
      </w:r>
      <w:r w:rsidR="00804BDC" w:rsidRPr="00804BDC">
        <w:rPr>
          <w:rFonts w:ascii="Arial" w:hAnsi="Arial" w:cs="Arial"/>
          <w:sz w:val="22"/>
          <w:szCs w:val="22"/>
        </w:rPr>
        <w:t xml:space="preserve"> study budget is in the “ballpark”. The budget is ultimately tied to a contract or clinical trial agreement which legally describes what is expected from the investigator and institution. The contract will also include details of how and when the site will receive payments for study related activities.</w:t>
      </w:r>
      <w:r w:rsidR="00610204">
        <w:rPr>
          <w:rFonts w:ascii="Arial" w:hAnsi="Arial" w:cs="Arial"/>
          <w:sz w:val="22"/>
          <w:szCs w:val="22"/>
        </w:rPr>
        <w:t xml:space="preserve"> </w:t>
      </w:r>
    </w:p>
    <w:p w14:paraId="0F51E742" w14:textId="77777777" w:rsidR="00610204" w:rsidRDefault="009A444A" w:rsidP="00610204">
      <w:pPr>
        <w:pStyle w:val="ListParagraph"/>
        <w:numPr>
          <w:ilvl w:val="0"/>
          <w:numId w:val="9"/>
        </w:numPr>
        <w:rPr>
          <w:rFonts w:ascii="Arial" w:hAnsi="Arial" w:cs="Arial"/>
          <w:sz w:val="22"/>
          <w:szCs w:val="22"/>
        </w:rPr>
      </w:pPr>
      <w:r>
        <w:rPr>
          <w:rFonts w:ascii="Arial" w:hAnsi="Arial" w:cs="Arial"/>
          <w:sz w:val="22"/>
          <w:szCs w:val="22"/>
        </w:rPr>
        <w:t>A best practices approach is to develop an internal budget</w:t>
      </w:r>
      <w:r w:rsidR="00610204">
        <w:rPr>
          <w:rFonts w:ascii="Arial" w:hAnsi="Arial" w:cs="Arial"/>
          <w:sz w:val="22"/>
          <w:szCs w:val="22"/>
        </w:rPr>
        <w:t xml:space="preserve"> in conjunction with the sponsor provided draft budget which identifies study costs based on labor and research rates for procedures.  Some departments may</w:t>
      </w:r>
      <w:r w:rsidR="00610204" w:rsidRPr="00610204">
        <w:rPr>
          <w:rFonts w:ascii="Arial" w:hAnsi="Arial" w:cs="Arial"/>
          <w:sz w:val="22"/>
          <w:szCs w:val="22"/>
        </w:rPr>
        <w:t xml:space="preserve"> require a </w:t>
      </w:r>
      <w:r>
        <w:rPr>
          <w:rFonts w:ascii="Arial" w:hAnsi="Arial" w:cs="Arial"/>
          <w:sz w:val="22"/>
          <w:szCs w:val="22"/>
        </w:rPr>
        <w:t>Protocol Feasibility</w:t>
      </w:r>
      <w:r w:rsidR="00FF16BD">
        <w:rPr>
          <w:rFonts w:ascii="Arial" w:hAnsi="Arial" w:cs="Arial"/>
          <w:sz w:val="22"/>
          <w:szCs w:val="22"/>
        </w:rPr>
        <w:t xml:space="preserve"> and/or a </w:t>
      </w:r>
      <w:r>
        <w:rPr>
          <w:rFonts w:ascii="Arial" w:hAnsi="Arial" w:cs="Arial"/>
          <w:sz w:val="22"/>
          <w:szCs w:val="22"/>
        </w:rPr>
        <w:t>Coverage A</w:t>
      </w:r>
      <w:r w:rsidR="00610204" w:rsidRPr="00610204">
        <w:rPr>
          <w:rFonts w:ascii="Arial" w:hAnsi="Arial" w:cs="Arial"/>
          <w:sz w:val="22"/>
          <w:szCs w:val="22"/>
        </w:rPr>
        <w:t>naly</w:t>
      </w:r>
      <w:r w:rsidR="00610204">
        <w:rPr>
          <w:rFonts w:ascii="Arial" w:hAnsi="Arial" w:cs="Arial"/>
          <w:sz w:val="22"/>
          <w:szCs w:val="22"/>
        </w:rPr>
        <w:t xml:space="preserve">sis to obtain internal approval and to incorporate into the internal budget. </w:t>
      </w:r>
      <w:r w:rsidR="00610204" w:rsidRPr="00610204">
        <w:rPr>
          <w:rFonts w:ascii="Arial" w:hAnsi="Arial" w:cs="Arial"/>
          <w:sz w:val="22"/>
          <w:szCs w:val="22"/>
        </w:rPr>
        <w:t xml:space="preserve">  </w:t>
      </w:r>
    </w:p>
    <w:p w14:paraId="0F51E743" w14:textId="77777777" w:rsidR="00FF16BD" w:rsidRDefault="00FF16BD" w:rsidP="00FF16BD">
      <w:pPr>
        <w:pStyle w:val="ListParagraph"/>
        <w:numPr>
          <w:ilvl w:val="0"/>
          <w:numId w:val="9"/>
        </w:numPr>
        <w:rPr>
          <w:rFonts w:ascii="Arial" w:hAnsi="Arial" w:cs="Arial"/>
          <w:sz w:val="22"/>
          <w:szCs w:val="22"/>
        </w:rPr>
      </w:pPr>
      <w:r w:rsidRPr="00FF16BD">
        <w:rPr>
          <w:rFonts w:ascii="Arial" w:hAnsi="Arial" w:cs="Arial"/>
          <w:sz w:val="22"/>
          <w:szCs w:val="22"/>
        </w:rPr>
        <w:t>Coverage Analysis (CA) – a uniform method of analyzing the items and services provided in a</w:t>
      </w:r>
      <w:r>
        <w:rPr>
          <w:rFonts w:ascii="Arial" w:hAnsi="Arial" w:cs="Arial"/>
          <w:sz w:val="22"/>
          <w:szCs w:val="22"/>
        </w:rPr>
        <w:t xml:space="preserve"> </w:t>
      </w:r>
      <w:r w:rsidRPr="00FF16BD">
        <w:rPr>
          <w:rFonts w:ascii="Arial" w:hAnsi="Arial" w:cs="Arial"/>
          <w:sz w:val="22"/>
          <w:szCs w:val="22"/>
        </w:rPr>
        <w:t>clinical trial to determine if that item or service can be appropriately billed to Medicare and other</w:t>
      </w:r>
      <w:r>
        <w:rPr>
          <w:rFonts w:ascii="Arial" w:hAnsi="Arial" w:cs="Arial"/>
          <w:sz w:val="22"/>
          <w:szCs w:val="22"/>
        </w:rPr>
        <w:t xml:space="preserve"> </w:t>
      </w:r>
      <w:r w:rsidRPr="00FF16BD">
        <w:rPr>
          <w:rFonts w:ascii="Arial" w:hAnsi="Arial" w:cs="Arial"/>
          <w:sz w:val="22"/>
          <w:szCs w:val="22"/>
        </w:rPr>
        <w:t>insurers. Such an analysis, when completed prior to study start and formally documented, can help</w:t>
      </w:r>
      <w:r>
        <w:rPr>
          <w:rFonts w:ascii="Arial" w:hAnsi="Arial" w:cs="Arial"/>
          <w:sz w:val="22"/>
          <w:szCs w:val="22"/>
        </w:rPr>
        <w:t xml:space="preserve"> </w:t>
      </w:r>
      <w:r w:rsidRPr="00FF16BD">
        <w:rPr>
          <w:rFonts w:ascii="Arial" w:hAnsi="Arial" w:cs="Arial"/>
          <w:sz w:val="22"/>
          <w:szCs w:val="22"/>
        </w:rPr>
        <w:t>provide a more accurate assessment of study costs for budgeting purposes; avoid submission of</w:t>
      </w:r>
      <w:r>
        <w:rPr>
          <w:rFonts w:ascii="Arial" w:hAnsi="Arial" w:cs="Arial"/>
          <w:sz w:val="22"/>
          <w:szCs w:val="22"/>
        </w:rPr>
        <w:t xml:space="preserve"> </w:t>
      </w:r>
      <w:r w:rsidRPr="00FF16BD">
        <w:rPr>
          <w:rFonts w:ascii="Arial" w:hAnsi="Arial" w:cs="Arial"/>
          <w:sz w:val="22"/>
          <w:szCs w:val="22"/>
        </w:rPr>
        <w:t>incorrect claims (protecting an institution from violations of the False Claims Act); identify non</w:t>
      </w:r>
      <w:r w:rsidR="00FB17A4">
        <w:rPr>
          <w:rFonts w:ascii="Arial" w:hAnsi="Arial" w:cs="Arial"/>
          <w:sz w:val="22"/>
          <w:szCs w:val="22"/>
        </w:rPr>
        <w:t>-</w:t>
      </w:r>
      <w:r w:rsidRPr="00FF16BD">
        <w:rPr>
          <w:rFonts w:ascii="Arial" w:hAnsi="Arial" w:cs="Arial"/>
          <w:sz w:val="22"/>
          <w:szCs w:val="22"/>
        </w:rPr>
        <w:t>covered</w:t>
      </w:r>
      <w:r>
        <w:rPr>
          <w:rFonts w:ascii="Arial" w:hAnsi="Arial" w:cs="Arial"/>
          <w:sz w:val="22"/>
          <w:szCs w:val="22"/>
        </w:rPr>
        <w:t xml:space="preserve"> </w:t>
      </w:r>
      <w:r w:rsidRPr="00FF16BD">
        <w:rPr>
          <w:rFonts w:ascii="Arial" w:hAnsi="Arial" w:cs="Arial"/>
          <w:sz w:val="22"/>
          <w:szCs w:val="22"/>
        </w:rPr>
        <w:t>study costs; and assist in the accurate coding of covered charges on billing claims.</w:t>
      </w:r>
    </w:p>
    <w:p w14:paraId="0F51E744" w14:textId="77777777" w:rsidR="00610204" w:rsidRPr="00FF16BD" w:rsidRDefault="00F151BB" w:rsidP="00FF16BD">
      <w:pPr>
        <w:pStyle w:val="ListParagraph"/>
        <w:numPr>
          <w:ilvl w:val="0"/>
          <w:numId w:val="9"/>
        </w:numPr>
        <w:rPr>
          <w:rFonts w:ascii="Arial" w:hAnsi="Arial" w:cs="Arial"/>
          <w:sz w:val="22"/>
          <w:szCs w:val="22"/>
        </w:rPr>
      </w:pPr>
      <w:r w:rsidRPr="00FF16BD">
        <w:rPr>
          <w:rFonts w:ascii="Arial" w:hAnsi="Arial" w:cs="Arial"/>
          <w:sz w:val="22"/>
          <w:szCs w:val="22"/>
        </w:rPr>
        <w:t>Whether you are developing your own budget or the sponsor presents you with one, your clinical study budget should cover all study-related costs including fees and indirect costs. In addition, you should ask whether other study-related costs will be paid, such as</w:t>
      </w:r>
    </w:p>
    <w:p w14:paraId="0F51E745" w14:textId="77777777" w:rsidR="00F151BB" w:rsidRPr="00F151BB" w:rsidRDefault="00F151BB" w:rsidP="00F151BB">
      <w:pPr>
        <w:pStyle w:val="ListParagraph"/>
        <w:ind w:left="2160"/>
        <w:rPr>
          <w:rFonts w:ascii="Arial" w:hAnsi="Arial" w:cs="Arial"/>
          <w:sz w:val="22"/>
          <w:szCs w:val="22"/>
        </w:rPr>
      </w:pPr>
      <w:r>
        <w:rPr>
          <w:rFonts w:ascii="Arial" w:hAnsi="Arial" w:cs="Arial"/>
          <w:sz w:val="22"/>
          <w:szCs w:val="22"/>
        </w:rPr>
        <w:t>• U</w:t>
      </w:r>
      <w:r w:rsidRPr="00F151BB">
        <w:rPr>
          <w:rFonts w:ascii="Arial" w:hAnsi="Arial" w:cs="Arial"/>
          <w:sz w:val="22"/>
          <w:szCs w:val="22"/>
        </w:rPr>
        <w:t>p-front, non-refundable payment to defray the cost of start-up work such as preparing regulatory documents, attending investigator meetings, site i</w:t>
      </w:r>
      <w:r w:rsidR="001711FE">
        <w:rPr>
          <w:rFonts w:ascii="Arial" w:hAnsi="Arial" w:cs="Arial"/>
          <w:sz w:val="22"/>
          <w:szCs w:val="22"/>
        </w:rPr>
        <w:t xml:space="preserve">nitiation training, enrollment </w:t>
      </w:r>
      <w:r w:rsidRPr="00F151BB">
        <w:rPr>
          <w:rFonts w:ascii="Arial" w:hAnsi="Arial" w:cs="Arial"/>
          <w:sz w:val="22"/>
          <w:szCs w:val="22"/>
        </w:rPr>
        <w:t>efforts, etc.</w:t>
      </w:r>
    </w:p>
    <w:p w14:paraId="0F51E746" w14:textId="77777777" w:rsidR="00F151BB" w:rsidRDefault="00F151BB" w:rsidP="00F151BB">
      <w:pPr>
        <w:pStyle w:val="ListParagraph"/>
        <w:ind w:left="2160"/>
        <w:rPr>
          <w:rFonts w:ascii="Arial" w:hAnsi="Arial" w:cs="Arial"/>
          <w:sz w:val="22"/>
          <w:szCs w:val="22"/>
        </w:rPr>
      </w:pPr>
      <w:r>
        <w:rPr>
          <w:rFonts w:ascii="Arial" w:hAnsi="Arial" w:cs="Arial"/>
          <w:sz w:val="22"/>
          <w:szCs w:val="22"/>
        </w:rPr>
        <w:t>• P</w:t>
      </w:r>
      <w:r w:rsidR="00610204">
        <w:rPr>
          <w:rFonts w:ascii="Arial" w:hAnsi="Arial" w:cs="Arial"/>
          <w:sz w:val="22"/>
          <w:szCs w:val="22"/>
        </w:rPr>
        <w:t>ayment for close-out</w:t>
      </w:r>
      <w:r w:rsidRPr="00F151BB">
        <w:rPr>
          <w:rFonts w:ascii="Arial" w:hAnsi="Arial" w:cs="Arial"/>
          <w:sz w:val="22"/>
          <w:szCs w:val="22"/>
        </w:rPr>
        <w:t xml:space="preserve"> costs in the case of early termination by the sponsor</w:t>
      </w:r>
    </w:p>
    <w:p w14:paraId="0F51E747" w14:textId="77777777" w:rsidR="00F151BB" w:rsidRDefault="00F151BB" w:rsidP="00F151BB">
      <w:pPr>
        <w:pStyle w:val="ListParagraph"/>
        <w:ind w:left="2160"/>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Invoicables</w:t>
      </w:r>
      <w:proofErr w:type="spellEnd"/>
      <w:r>
        <w:rPr>
          <w:rFonts w:ascii="Arial" w:hAnsi="Arial" w:cs="Arial"/>
          <w:sz w:val="22"/>
          <w:szCs w:val="22"/>
        </w:rPr>
        <w:t xml:space="preserve"> to the trial such a</w:t>
      </w:r>
      <w:r w:rsidR="001711FE">
        <w:rPr>
          <w:rFonts w:ascii="Arial" w:hAnsi="Arial" w:cs="Arial"/>
          <w:sz w:val="22"/>
          <w:szCs w:val="22"/>
        </w:rPr>
        <w:t>s</w:t>
      </w:r>
      <w:r>
        <w:rPr>
          <w:rFonts w:ascii="Arial" w:hAnsi="Arial" w:cs="Arial"/>
          <w:sz w:val="22"/>
          <w:szCs w:val="22"/>
        </w:rPr>
        <w:t xml:space="preserve"> related patient travel expense, lengthy monitoring visits, FDA audit, qualifying images/image transfers, file management, adverse events, etc.</w:t>
      </w:r>
      <w:r w:rsidR="00610204">
        <w:rPr>
          <w:rFonts w:ascii="Arial" w:hAnsi="Arial" w:cs="Arial"/>
          <w:sz w:val="22"/>
          <w:szCs w:val="22"/>
        </w:rPr>
        <w:t xml:space="preserve"> (yearly or per </w:t>
      </w:r>
      <w:r w:rsidR="00FB17A4">
        <w:rPr>
          <w:rFonts w:ascii="Arial" w:hAnsi="Arial" w:cs="Arial"/>
          <w:sz w:val="22"/>
          <w:szCs w:val="22"/>
        </w:rPr>
        <w:t>occurrence</w:t>
      </w:r>
      <w:r w:rsidR="00610204">
        <w:rPr>
          <w:rFonts w:ascii="Arial" w:hAnsi="Arial" w:cs="Arial"/>
          <w:sz w:val="22"/>
          <w:szCs w:val="22"/>
        </w:rPr>
        <w:t>)</w:t>
      </w:r>
    </w:p>
    <w:p w14:paraId="0F51E748" w14:textId="77777777" w:rsidR="00610204" w:rsidRDefault="00610204" w:rsidP="00610204">
      <w:pPr>
        <w:pStyle w:val="ListParagraph"/>
        <w:ind w:left="2160"/>
        <w:rPr>
          <w:rFonts w:ascii="Arial" w:hAnsi="Arial" w:cs="Arial"/>
          <w:sz w:val="22"/>
          <w:szCs w:val="22"/>
        </w:rPr>
      </w:pPr>
      <w:r w:rsidRPr="00610204">
        <w:rPr>
          <w:rFonts w:ascii="Arial" w:hAnsi="Arial" w:cs="Arial"/>
          <w:sz w:val="22"/>
          <w:szCs w:val="22"/>
        </w:rPr>
        <w:t xml:space="preserve">• </w:t>
      </w:r>
      <w:r>
        <w:rPr>
          <w:rFonts w:ascii="Arial" w:hAnsi="Arial" w:cs="Arial"/>
          <w:sz w:val="22"/>
          <w:szCs w:val="22"/>
        </w:rPr>
        <w:t>Per Patient Costs</w:t>
      </w:r>
    </w:p>
    <w:p w14:paraId="0F51E749" w14:textId="77777777" w:rsidR="00610204" w:rsidRPr="00610204" w:rsidRDefault="00610204" w:rsidP="00610204">
      <w:pPr>
        <w:pStyle w:val="ListParagraph"/>
        <w:ind w:left="2160" w:firstLine="720"/>
        <w:rPr>
          <w:rFonts w:ascii="Arial" w:hAnsi="Arial" w:cs="Arial"/>
          <w:sz w:val="22"/>
          <w:szCs w:val="22"/>
        </w:rPr>
      </w:pPr>
      <w:r>
        <w:rPr>
          <w:rFonts w:ascii="Arial" w:hAnsi="Arial" w:cs="Arial"/>
          <w:sz w:val="22"/>
          <w:szCs w:val="22"/>
        </w:rPr>
        <w:t xml:space="preserve">• </w:t>
      </w:r>
      <w:r w:rsidRPr="00610204">
        <w:rPr>
          <w:rFonts w:ascii="Arial" w:hAnsi="Arial" w:cs="Arial"/>
          <w:sz w:val="22"/>
          <w:szCs w:val="22"/>
        </w:rPr>
        <w:t>Screen failures</w:t>
      </w:r>
    </w:p>
    <w:p w14:paraId="0F51E74A" w14:textId="77777777" w:rsidR="009C382C" w:rsidRDefault="00610204" w:rsidP="009C382C">
      <w:pPr>
        <w:pStyle w:val="ListParagraph"/>
        <w:ind w:left="2880"/>
        <w:rPr>
          <w:rFonts w:ascii="Arial" w:hAnsi="Arial" w:cs="Arial"/>
          <w:sz w:val="22"/>
          <w:szCs w:val="22"/>
        </w:rPr>
      </w:pPr>
      <w:r w:rsidRPr="00610204">
        <w:rPr>
          <w:rFonts w:ascii="Arial" w:hAnsi="Arial" w:cs="Arial"/>
          <w:sz w:val="22"/>
          <w:szCs w:val="22"/>
        </w:rPr>
        <w:t>• Prorated payment for subjects who are terminated, drop out, or are lost to follow-up</w:t>
      </w:r>
    </w:p>
    <w:p w14:paraId="0F51E74B" w14:textId="77777777" w:rsidR="009C382C" w:rsidRPr="009C382C" w:rsidRDefault="009C382C" w:rsidP="009C382C">
      <w:pPr>
        <w:pStyle w:val="ListParagraph"/>
        <w:ind w:left="1440"/>
        <w:rPr>
          <w:rFonts w:ascii="Arial" w:hAnsi="Arial" w:cs="Arial"/>
          <w:sz w:val="22"/>
          <w:szCs w:val="22"/>
        </w:rPr>
      </w:pPr>
      <w:r w:rsidRPr="009C382C">
        <w:rPr>
          <w:rFonts w:ascii="Arial" w:hAnsi="Arial" w:cs="Arial"/>
          <w:sz w:val="22"/>
          <w:szCs w:val="22"/>
        </w:rPr>
        <w:t>The first three categories are based on the anticipa</w:t>
      </w:r>
      <w:r>
        <w:rPr>
          <w:rFonts w:ascii="Arial" w:hAnsi="Arial" w:cs="Arial"/>
          <w:sz w:val="22"/>
          <w:szCs w:val="22"/>
        </w:rPr>
        <w:t>ted time and expense to conduct these activities</w:t>
      </w:r>
      <w:r w:rsidRPr="009C382C">
        <w:rPr>
          <w:rFonts w:ascii="Arial" w:hAnsi="Arial" w:cs="Arial"/>
          <w:sz w:val="22"/>
          <w:szCs w:val="22"/>
        </w:rPr>
        <w:t>. Per patient</w:t>
      </w:r>
      <w:r>
        <w:rPr>
          <w:rFonts w:ascii="Arial" w:hAnsi="Arial" w:cs="Arial"/>
          <w:sz w:val="22"/>
          <w:szCs w:val="22"/>
        </w:rPr>
        <w:t xml:space="preserve"> </w:t>
      </w:r>
      <w:r w:rsidRPr="009C382C">
        <w:rPr>
          <w:rFonts w:ascii="Arial" w:hAnsi="Arial" w:cs="Arial"/>
          <w:sz w:val="22"/>
          <w:szCs w:val="22"/>
        </w:rPr>
        <w:t>costs are composed of protocol-related procedures and hospital services. To determine what is payable by the study and what is payable</w:t>
      </w:r>
      <w:r>
        <w:rPr>
          <w:rFonts w:ascii="Arial" w:hAnsi="Arial" w:cs="Arial"/>
          <w:sz w:val="22"/>
          <w:szCs w:val="22"/>
        </w:rPr>
        <w:t xml:space="preserve"> </w:t>
      </w:r>
      <w:r w:rsidR="00FF16BD">
        <w:rPr>
          <w:rFonts w:ascii="Arial" w:hAnsi="Arial" w:cs="Arial"/>
          <w:sz w:val="22"/>
          <w:szCs w:val="22"/>
        </w:rPr>
        <w:t xml:space="preserve">by insurance, refer to the </w:t>
      </w:r>
      <w:r w:rsidRPr="009C382C">
        <w:rPr>
          <w:rFonts w:ascii="Arial" w:hAnsi="Arial" w:cs="Arial"/>
          <w:sz w:val="22"/>
          <w:szCs w:val="22"/>
        </w:rPr>
        <w:t>Coverage Analysis and incorporate correct line items in the</w:t>
      </w:r>
      <w:r>
        <w:rPr>
          <w:rFonts w:ascii="Arial" w:hAnsi="Arial" w:cs="Arial"/>
          <w:sz w:val="22"/>
          <w:szCs w:val="22"/>
        </w:rPr>
        <w:t xml:space="preserve"> per-patient budget</w:t>
      </w:r>
      <w:r w:rsidRPr="009C382C">
        <w:rPr>
          <w:rFonts w:ascii="Arial" w:hAnsi="Arial" w:cs="Arial"/>
          <w:sz w:val="22"/>
          <w:szCs w:val="22"/>
        </w:rPr>
        <w:t>. Once internal costs are estimated, use this as a reference to negotiate</w:t>
      </w:r>
      <w:r>
        <w:rPr>
          <w:rFonts w:ascii="Arial" w:hAnsi="Arial" w:cs="Arial"/>
          <w:sz w:val="22"/>
          <w:szCs w:val="22"/>
        </w:rPr>
        <w:t xml:space="preserve"> </w:t>
      </w:r>
      <w:r w:rsidRPr="009C382C">
        <w:rPr>
          <w:rFonts w:ascii="Arial" w:hAnsi="Arial" w:cs="Arial"/>
          <w:sz w:val="22"/>
          <w:szCs w:val="22"/>
        </w:rPr>
        <w:t>the external budget with the study sponsor. The final contract budget will reflect the</w:t>
      </w:r>
      <w:r>
        <w:rPr>
          <w:rFonts w:ascii="Arial" w:hAnsi="Arial" w:cs="Arial"/>
          <w:sz w:val="22"/>
          <w:szCs w:val="22"/>
        </w:rPr>
        <w:t xml:space="preserve"> </w:t>
      </w:r>
      <w:r w:rsidRPr="009C382C">
        <w:rPr>
          <w:rFonts w:ascii="Arial" w:hAnsi="Arial" w:cs="Arial"/>
          <w:sz w:val="22"/>
          <w:szCs w:val="22"/>
        </w:rPr>
        <w:t>negotiated rates that the sponsor will pay.</w:t>
      </w:r>
    </w:p>
    <w:p w14:paraId="0F51E74C" w14:textId="77777777" w:rsidR="00804BDC" w:rsidRPr="00804BDC" w:rsidRDefault="00804BDC" w:rsidP="00FF16BD">
      <w:pPr>
        <w:pStyle w:val="ListParagraph"/>
        <w:numPr>
          <w:ilvl w:val="0"/>
          <w:numId w:val="9"/>
        </w:numPr>
        <w:rPr>
          <w:rFonts w:ascii="Arial" w:hAnsi="Arial" w:cs="Arial"/>
          <w:sz w:val="22"/>
          <w:szCs w:val="22"/>
        </w:rPr>
      </w:pPr>
      <w:r w:rsidRPr="00804BDC">
        <w:rPr>
          <w:rFonts w:ascii="Arial" w:hAnsi="Arial" w:cs="Arial"/>
          <w:sz w:val="22"/>
          <w:szCs w:val="22"/>
        </w:rPr>
        <w:t>To build a budget the following information is required:</w:t>
      </w:r>
    </w:p>
    <w:p w14:paraId="0F51E74D" w14:textId="77777777" w:rsidR="00804BDC" w:rsidRPr="00804BDC" w:rsidRDefault="00804BDC" w:rsidP="00804BDC">
      <w:pPr>
        <w:ind w:left="1800"/>
        <w:rPr>
          <w:rFonts w:ascii="Arial" w:hAnsi="Arial" w:cs="Arial"/>
          <w:sz w:val="22"/>
          <w:szCs w:val="22"/>
        </w:rPr>
      </w:pPr>
      <w:r>
        <w:rPr>
          <w:rFonts w:ascii="Arial" w:hAnsi="Arial" w:cs="Arial"/>
          <w:sz w:val="22"/>
          <w:szCs w:val="22"/>
        </w:rPr>
        <w:lastRenderedPageBreak/>
        <w:t>• Schedule of Events</w:t>
      </w:r>
      <w:r w:rsidRPr="00804BDC">
        <w:rPr>
          <w:rFonts w:ascii="Arial" w:hAnsi="Arial" w:cs="Arial"/>
          <w:sz w:val="22"/>
          <w:szCs w:val="22"/>
        </w:rPr>
        <w:t>. The schedule of events describes all of the study related procedures and assessments to be performed per the protocol across a defined visit schedule.</w:t>
      </w:r>
    </w:p>
    <w:p w14:paraId="0F51E74E" w14:textId="77777777" w:rsidR="00804BDC" w:rsidRPr="00804BDC" w:rsidRDefault="00804BDC" w:rsidP="00804BDC">
      <w:pPr>
        <w:ind w:left="1080" w:firstLine="720"/>
        <w:rPr>
          <w:rFonts w:ascii="Arial" w:hAnsi="Arial" w:cs="Arial"/>
          <w:sz w:val="22"/>
          <w:szCs w:val="22"/>
        </w:rPr>
      </w:pPr>
      <w:r w:rsidRPr="00804BDC">
        <w:rPr>
          <w:rFonts w:ascii="Arial" w:hAnsi="Arial" w:cs="Arial"/>
          <w:sz w:val="22"/>
          <w:szCs w:val="22"/>
        </w:rPr>
        <w:t>• Staff Salary Estimate (principal investigator, study coordinator).</w:t>
      </w:r>
    </w:p>
    <w:p w14:paraId="0F51E74F" w14:textId="77777777" w:rsidR="00804BDC" w:rsidRPr="00804BDC" w:rsidRDefault="00804BDC" w:rsidP="00804BDC">
      <w:pPr>
        <w:ind w:left="1800"/>
        <w:rPr>
          <w:rFonts w:ascii="Arial" w:hAnsi="Arial" w:cs="Arial"/>
          <w:sz w:val="22"/>
          <w:szCs w:val="22"/>
        </w:rPr>
      </w:pPr>
      <w:r w:rsidRPr="00804BDC">
        <w:rPr>
          <w:rFonts w:ascii="Arial" w:hAnsi="Arial" w:cs="Arial"/>
          <w:sz w:val="22"/>
          <w:szCs w:val="22"/>
        </w:rPr>
        <w:t>• Facility billing codes and payment rates for tests and procedures occurring in a facility.</w:t>
      </w:r>
    </w:p>
    <w:p w14:paraId="0F51E750" w14:textId="77777777" w:rsidR="00804BDC" w:rsidRPr="00804BDC" w:rsidRDefault="00804BDC" w:rsidP="00804BDC">
      <w:pPr>
        <w:ind w:left="1800"/>
        <w:rPr>
          <w:rFonts w:ascii="Arial" w:hAnsi="Arial" w:cs="Arial"/>
          <w:sz w:val="22"/>
          <w:szCs w:val="22"/>
        </w:rPr>
      </w:pPr>
      <w:r w:rsidRPr="00804BDC">
        <w:rPr>
          <w:rFonts w:ascii="Arial" w:hAnsi="Arial" w:cs="Arial"/>
          <w:sz w:val="22"/>
          <w:szCs w:val="22"/>
        </w:rPr>
        <w:t>• Physician billing codes and associated payment rates for tests and procedures performed by the physician.</w:t>
      </w:r>
    </w:p>
    <w:p w14:paraId="0F51E751" w14:textId="77777777" w:rsidR="009A444A" w:rsidRDefault="00804BDC" w:rsidP="009A444A">
      <w:pPr>
        <w:pStyle w:val="ListParagraph"/>
        <w:ind w:left="1800"/>
        <w:rPr>
          <w:rFonts w:ascii="Arial" w:hAnsi="Arial" w:cs="Arial"/>
          <w:sz w:val="22"/>
          <w:szCs w:val="22"/>
        </w:rPr>
      </w:pPr>
      <w:r w:rsidRPr="00804BDC">
        <w:rPr>
          <w:rFonts w:ascii="Arial" w:hAnsi="Arial" w:cs="Arial"/>
          <w:sz w:val="22"/>
          <w:szCs w:val="22"/>
        </w:rPr>
        <w:t xml:space="preserve">• Estimated Overhead </w:t>
      </w:r>
      <w:r w:rsidR="009A444A">
        <w:rPr>
          <w:rFonts w:ascii="Arial" w:hAnsi="Arial" w:cs="Arial"/>
          <w:sz w:val="22"/>
          <w:szCs w:val="22"/>
        </w:rPr>
        <w:t>(please reference UAB’s F&amp;A Agreement and/or Department Overheard Policy)</w:t>
      </w:r>
      <w:r w:rsidR="00CA17E4">
        <w:rPr>
          <w:rFonts w:ascii="Arial" w:hAnsi="Arial" w:cs="Arial"/>
          <w:sz w:val="22"/>
          <w:szCs w:val="22"/>
        </w:rPr>
        <w:t xml:space="preserve"> </w:t>
      </w:r>
      <w:hyperlink r:id="rId11" w:history="1">
        <w:r w:rsidR="00CA17E4" w:rsidRPr="00CA17E4">
          <w:rPr>
            <w:rStyle w:val="Hyperlink"/>
            <w:rFonts w:ascii="Arial" w:hAnsi="Arial" w:cs="Arial"/>
            <w:sz w:val="22"/>
            <w:szCs w:val="22"/>
          </w:rPr>
          <w:t xml:space="preserve">F &amp; </w:t>
        </w:r>
        <w:proofErr w:type="gramStart"/>
        <w:r w:rsidR="00CA17E4" w:rsidRPr="00CA17E4">
          <w:rPr>
            <w:rStyle w:val="Hyperlink"/>
            <w:rFonts w:ascii="Arial" w:hAnsi="Arial" w:cs="Arial"/>
            <w:sz w:val="22"/>
            <w:szCs w:val="22"/>
          </w:rPr>
          <w:t>A</w:t>
        </w:r>
        <w:proofErr w:type="gramEnd"/>
        <w:r w:rsidR="00CA17E4" w:rsidRPr="00CA17E4">
          <w:rPr>
            <w:rStyle w:val="Hyperlink"/>
            <w:rFonts w:ascii="Arial" w:hAnsi="Arial" w:cs="Arial"/>
            <w:sz w:val="22"/>
            <w:szCs w:val="22"/>
          </w:rPr>
          <w:t xml:space="preserve"> Rate Agreement</w:t>
        </w:r>
      </w:hyperlink>
    </w:p>
    <w:p w14:paraId="0F51E752" w14:textId="77777777" w:rsidR="00804BDC" w:rsidRPr="009A444A" w:rsidRDefault="009A444A" w:rsidP="009A444A">
      <w:pPr>
        <w:pStyle w:val="ListParagraph"/>
        <w:ind w:left="1440" w:firstLine="360"/>
        <w:rPr>
          <w:rFonts w:ascii="Arial" w:hAnsi="Arial" w:cs="Arial"/>
          <w:sz w:val="22"/>
          <w:szCs w:val="22"/>
        </w:rPr>
      </w:pPr>
      <w:r>
        <w:rPr>
          <w:rFonts w:ascii="Arial" w:hAnsi="Arial" w:cs="Arial"/>
          <w:sz w:val="22"/>
          <w:szCs w:val="22"/>
        </w:rPr>
        <w:t>• FAP</w:t>
      </w:r>
      <w:r w:rsidRPr="00804BDC">
        <w:rPr>
          <w:rFonts w:ascii="Arial" w:hAnsi="Arial" w:cs="Arial"/>
          <w:sz w:val="22"/>
          <w:szCs w:val="22"/>
        </w:rPr>
        <w:t xml:space="preserve"> </w:t>
      </w:r>
      <w:r>
        <w:rPr>
          <w:rFonts w:ascii="Arial" w:hAnsi="Arial" w:cs="Arial"/>
          <w:sz w:val="22"/>
          <w:szCs w:val="22"/>
        </w:rPr>
        <w:t>Submission (i</w:t>
      </w:r>
      <w:r w:rsidR="001B723F" w:rsidRPr="009A444A">
        <w:rPr>
          <w:rFonts w:ascii="Arial" w:hAnsi="Arial" w:cs="Arial"/>
          <w:sz w:val="22"/>
          <w:szCs w:val="22"/>
        </w:rPr>
        <w:t>nflate FAP prices by 5-10% annually)</w:t>
      </w:r>
    </w:p>
    <w:p w14:paraId="0F51E753" w14:textId="77777777" w:rsidR="00804BDC" w:rsidRDefault="00804BDC" w:rsidP="00FF16BD">
      <w:pPr>
        <w:pStyle w:val="ListParagraph"/>
        <w:numPr>
          <w:ilvl w:val="0"/>
          <w:numId w:val="9"/>
        </w:numPr>
        <w:rPr>
          <w:rFonts w:ascii="Arial" w:hAnsi="Arial" w:cs="Arial"/>
          <w:sz w:val="22"/>
          <w:szCs w:val="22"/>
        </w:rPr>
      </w:pPr>
      <w:r w:rsidRPr="00804BDC">
        <w:rPr>
          <w:rFonts w:ascii="Arial" w:hAnsi="Arial" w:cs="Arial"/>
          <w:sz w:val="22"/>
          <w:szCs w:val="22"/>
        </w:rPr>
        <w:t>With the study related tasks organized across a defined visit schedule, the first step in creating the actual budget numbers is to identify the procedures that have established billing codes. For</w:t>
      </w:r>
      <w:r w:rsidR="009C382C">
        <w:rPr>
          <w:rFonts w:ascii="Arial" w:hAnsi="Arial" w:cs="Arial"/>
          <w:sz w:val="22"/>
          <w:szCs w:val="22"/>
        </w:rPr>
        <w:t xml:space="preserve"> these procedures (i.e. MRI, Labs</w:t>
      </w:r>
      <w:r w:rsidRPr="00804BDC">
        <w:rPr>
          <w:rFonts w:ascii="Arial" w:hAnsi="Arial" w:cs="Arial"/>
          <w:sz w:val="22"/>
          <w:szCs w:val="22"/>
        </w:rPr>
        <w:t>, etc.) document the average payment level that corresponds with the code that describes th</w:t>
      </w:r>
      <w:r w:rsidR="001B723F">
        <w:rPr>
          <w:rFonts w:ascii="Arial" w:hAnsi="Arial" w:cs="Arial"/>
          <w:sz w:val="22"/>
          <w:szCs w:val="22"/>
        </w:rPr>
        <w:t>e procedure or service</w:t>
      </w:r>
      <w:r w:rsidRPr="00804BDC">
        <w:rPr>
          <w:rFonts w:ascii="Arial" w:hAnsi="Arial" w:cs="Arial"/>
          <w:sz w:val="22"/>
          <w:szCs w:val="22"/>
        </w:rPr>
        <w:t xml:space="preserve">. Because Medicare is the only </w:t>
      </w:r>
      <w:r w:rsidR="00FB17A4" w:rsidRPr="00804BDC">
        <w:rPr>
          <w:rFonts w:ascii="Arial" w:hAnsi="Arial" w:cs="Arial"/>
          <w:sz w:val="22"/>
          <w:szCs w:val="22"/>
        </w:rPr>
        <w:t>payer</w:t>
      </w:r>
      <w:r w:rsidRPr="00804BDC">
        <w:rPr>
          <w:rFonts w:ascii="Arial" w:hAnsi="Arial" w:cs="Arial"/>
          <w:sz w:val="22"/>
          <w:szCs w:val="22"/>
        </w:rPr>
        <w:t xml:space="preserve"> which provides their fee schedule, regulations and policies as public information, the Medicare National Average Payment is frequently used as a baseline to establish the estimated payment levels. The elements to calculate the Medicare payment levels are published annually in the Federal Register and can also be found at the Centers for Medicare and Medicaid Services website (cms.gov). The rules and regulations are organized by site of service (Hospital Inpatient,</w:t>
      </w:r>
      <w:r>
        <w:rPr>
          <w:rFonts w:ascii="Arial" w:hAnsi="Arial" w:cs="Arial"/>
          <w:sz w:val="22"/>
          <w:szCs w:val="22"/>
        </w:rPr>
        <w:t xml:space="preserve"> </w:t>
      </w:r>
      <w:r w:rsidRPr="00804BDC">
        <w:rPr>
          <w:rFonts w:ascii="Arial" w:hAnsi="Arial" w:cs="Arial"/>
          <w:sz w:val="22"/>
          <w:szCs w:val="22"/>
        </w:rPr>
        <w:t xml:space="preserve">Hospital Outpatient, Physician, etc.). If the majority of the participants in your study will be under 65 years of age and thus eligible for commercial insurance, inflating the </w:t>
      </w:r>
      <w:r>
        <w:rPr>
          <w:rFonts w:ascii="Arial" w:hAnsi="Arial" w:cs="Arial"/>
          <w:sz w:val="22"/>
          <w:szCs w:val="22"/>
        </w:rPr>
        <w:t>Medicare fee schedule</w:t>
      </w:r>
      <w:r w:rsidRPr="00804BDC">
        <w:rPr>
          <w:rFonts w:ascii="Arial" w:hAnsi="Arial" w:cs="Arial"/>
          <w:sz w:val="22"/>
          <w:szCs w:val="22"/>
        </w:rPr>
        <w:t xml:space="preserve"> would be appropriate.</w:t>
      </w:r>
    </w:p>
    <w:p w14:paraId="0F51E754" w14:textId="77777777" w:rsidR="009A444A" w:rsidRDefault="009A444A" w:rsidP="00FF16BD">
      <w:pPr>
        <w:pStyle w:val="ListParagraph"/>
        <w:numPr>
          <w:ilvl w:val="0"/>
          <w:numId w:val="9"/>
        </w:numPr>
        <w:rPr>
          <w:rFonts w:ascii="Arial" w:hAnsi="Arial" w:cs="Arial"/>
          <w:sz w:val="22"/>
          <w:szCs w:val="22"/>
        </w:rPr>
      </w:pPr>
      <w:r>
        <w:rPr>
          <w:rFonts w:ascii="Arial" w:hAnsi="Arial" w:cs="Arial"/>
          <w:sz w:val="22"/>
          <w:szCs w:val="22"/>
        </w:rPr>
        <w:t>Account for unexpected events (review institutional and department policy regarding residual accounts)</w:t>
      </w:r>
    </w:p>
    <w:p w14:paraId="0F51E755" w14:textId="77777777" w:rsidR="00804BDC" w:rsidRDefault="00804BDC" w:rsidP="00FF16BD">
      <w:pPr>
        <w:pStyle w:val="ListParagraph"/>
        <w:numPr>
          <w:ilvl w:val="0"/>
          <w:numId w:val="9"/>
        </w:numPr>
        <w:rPr>
          <w:rFonts w:ascii="Arial" w:hAnsi="Arial" w:cs="Arial"/>
          <w:sz w:val="22"/>
          <w:szCs w:val="22"/>
        </w:rPr>
      </w:pPr>
      <w:r w:rsidRPr="00804BDC">
        <w:rPr>
          <w:rFonts w:ascii="Arial" w:hAnsi="Arial" w:cs="Arial"/>
          <w:sz w:val="22"/>
          <w:szCs w:val="22"/>
        </w:rPr>
        <w:t>Some study-related tasks will not have a corresponding Medicare fee schedule (i.e. informed consent, adverse event review, etc.). For these procedures, you should develop the cost estimate based on the resource(s) expected to perform the task (i.e. physician and/or coordinator) and the anticipated amount of time required to complete the task. Next</w:t>
      </w:r>
      <w:r w:rsidR="001711FE">
        <w:rPr>
          <w:rFonts w:ascii="Arial" w:hAnsi="Arial" w:cs="Arial"/>
          <w:sz w:val="22"/>
          <w:szCs w:val="22"/>
        </w:rPr>
        <w:t>,</w:t>
      </w:r>
      <w:r w:rsidRPr="00804BDC">
        <w:rPr>
          <w:rFonts w:ascii="Arial" w:hAnsi="Arial" w:cs="Arial"/>
          <w:sz w:val="22"/>
          <w:szCs w:val="22"/>
        </w:rPr>
        <w:t xml:space="preserve"> you need to decide on an hourly rate for the assigned resource</w:t>
      </w:r>
      <w:r>
        <w:rPr>
          <w:rFonts w:ascii="Arial" w:hAnsi="Arial" w:cs="Arial"/>
          <w:sz w:val="22"/>
          <w:szCs w:val="22"/>
        </w:rPr>
        <w:t xml:space="preserve">.  </w:t>
      </w:r>
      <w:r w:rsidRPr="00804BDC">
        <w:rPr>
          <w:rFonts w:ascii="Arial" w:hAnsi="Arial" w:cs="Arial"/>
          <w:sz w:val="22"/>
          <w:szCs w:val="22"/>
        </w:rPr>
        <w:t>For example, the process of obtaining informed consent requires time from both the research coordinator and the principal investigator. Let’s assume that the consent process requires 30 minutes of the study coordinator’s time at an hourly rate of $60 and 10 minutes of the principal investigator‘s time at an hourly rate of $300. Therefore, $80 would be budgeted for the cost of the informed consent.</w:t>
      </w:r>
      <w:r>
        <w:rPr>
          <w:rFonts w:ascii="Arial" w:hAnsi="Arial" w:cs="Arial"/>
          <w:sz w:val="22"/>
          <w:szCs w:val="22"/>
        </w:rPr>
        <w:t xml:space="preserve"> </w:t>
      </w:r>
    </w:p>
    <w:p w14:paraId="0F51E756" w14:textId="77777777" w:rsidR="00804BDC" w:rsidRDefault="00804BDC" w:rsidP="00FF16BD">
      <w:pPr>
        <w:pStyle w:val="ListParagraph"/>
        <w:numPr>
          <w:ilvl w:val="0"/>
          <w:numId w:val="9"/>
        </w:numPr>
        <w:rPr>
          <w:rFonts w:ascii="Arial" w:hAnsi="Arial" w:cs="Arial"/>
          <w:sz w:val="22"/>
          <w:szCs w:val="22"/>
        </w:rPr>
      </w:pPr>
      <w:r w:rsidRPr="00804BDC">
        <w:rPr>
          <w:rFonts w:ascii="Arial" w:hAnsi="Arial" w:cs="Arial"/>
          <w:sz w:val="22"/>
          <w:szCs w:val="22"/>
        </w:rPr>
        <w:t>It is important to document all of your assumptions so you can easily reference them if needed during conversations with research sites</w:t>
      </w:r>
      <w:r>
        <w:rPr>
          <w:rFonts w:ascii="Arial" w:hAnsi="Arial" w:cs="Arial"/>
          <w:sz w:val="22"/>
          <w:szCs w:val="22"/>
        </w:rPr>
        <w:t>.</w:t>
      </w:r>
    </w:p>
    <w:p w14:paraId="0F51E757" w14:textId="77777777" w:rsidR="00804BDC" w:rsidRDefault="00804BDC" w:rsidP="00FF16BD">
      <w:pPr>
        <w:pStyle w:val="ListParagraph"/>
        <w:numPr>
          <w:ilvl w:val="0"/>
          <w:numId w:val="9"/>
        </w:numPr>
        <w:rPr>
          <w:rFonts w:ascii="Arial" w:hAnsi="Arial" w:cs="Arial"/>
          <w:sz w:val="22"/>
          <w:szCs w:val="22"/>
        </w:rPr>
      </w:pPr>
      <w:r w:rsidRPr="00804BDC">
        <w:rPr>
          <w:rFonts w:ascii="Arial" w:hAnsi="Arial" w:cs="Arial"/>
          <w:sz w:val="22"/>
          <w:szCs w:val="22"/>
        </w:rPr>
        <w:t>It is also necessary to differentiate procedures and services which are considered standard of care and those which are not. Procedures and services routinely performed as a part of the treatment or care plan are considered standard of care; those that that are done solely to support the research objective are not. The costs associated with the procedures and services which are a direct result of the research are the responsibility of the sponsor; those that are considered standard of care a</w:t>
      </w:r>
      <w:r>
        <w:rPr>
          <w:rFonts w:ascii="Arial" w:hAnsi="Arial" w:cs="Arial"/>
          <w:sz w:val="22"/>
          <w:szCs w:val="22"/>
        </w:rPr>
        <w:t xml:space="preserve">re billed to the </w:t>
      </w:r>
      <w:r w:rsidR="00FB17A4">
        <w:rPr>
          <w:rFonts w:ascii="Arial" w:hAnsi="Arial" w:cs="Arial"/>
          <w:sz w:val="22"/>
          <w:szCs w:val="22"/>
        </w:rPr>
        <w:t>payer</w:t>
      </w:r>
      <w:r w:rsidRPr="00804BDC">
        <w:rPr>
          <w:rFonts w:ascii="Arial" w:hAnsi="Arial" w:cs="Arial"/>
          <w:sz w:val="22"/>
          <w:szCs w:val="22"/>
        </w:rPr>
        <w:t xml:space="preserve">. The interpretation of what is standard of care during a clinical study may vary by </w:t>
      </w:r>
      <w:r w:rsidR="00FB17A4" w:rsidRPr="00804BDC">
        <w:rPr>
          <w:rFonts w:ascii="Arial" w:hAnsi="Arial" w:cs="Arial"/>
          <w:sz w:val="22"/>
          <w:szCs w:val="22"/>
        </w:rPr>
        <w:t>payer</w:t>
      </w:r>
      <w:r w:rsidR="00FF16BD">
        <w:rPr>
          <w:rFonts w:ascii="Arial" w:hAnsi="Arial" w:cs="Arial"/>
          <w:sz w:val="22"/>
          <w:szCs w:val="22"/>
        </w:rPr>
        <w:t>/provider, not the sponsor</w:t>
      </w:r>
      <w:r w:rsidRPr="00804BDC">
        <w:rPr>
          <w:rFonts w:ascii="Arial" w:hAnsi="Arial" w:cs="Arial"/>
          <w:sz w:val="22"/>
          <w:szCs w:val="22"/>
        </w:rPr>
        <w:t>.</w:t>
      </w:r>
    </w:p>
    <w:p w14:paraId="0F51E758" w14:textId="77777777" w:rsidR="00804BDC" w:rsidRDefault="00804BDC" w:rsidP="00FF16BD">
      <w:pPr>
        <w:pStyle w:val="ListParagraph"/>
        <w:numPr>
          <w:ilvl w:val="0"/>
          <w:numId w:val="9"/>
        </w:numPr>
        <w:rPr>
          <w:rFonts w:ascii="Arial" w:hAnsi="Arial" w:cs="Arial"/>
          <w:sz w:val="22"/>
          <w:szCs w:val="22"/>
        </w:rPr>
      </w:pPr>
      <w:r w:rsidRPr="00804BDC">
        <w:rPr>
          <w:rFonts w:ascii="Arial" w:hAnsi="Arial" w:cs="Arial"/>
          <w:sz w:val="22"/>
          <w:szCs w:val="22"/>
        </w:rPr>
        <w:lastRenderedPageBreak/>
        <w:t xml:space="preserve">Once the study induced costs, salaries, and overhead have been consolidated into one worksheet, the overall cost per patient can be calculated with and without </w:t>
      </w:r>
      <w:r>
        <w:rPr>
          <w:rFonts w:ascii="Arial" w:hAnsi="Arial" w:cs="Arial"/>
          <w:sz w:val="22"/>
          <w:szCs w:val="22"/>
        </w:rPr>
        <w:t>an overhead assumption</w:t>
      </w:r>
      <w:r w:rsidRPr="00804BDC">
        <w:rPr>
          <w:rFonts w:ascii="Arial" w:hAnsi="Arial" w:cs="Arial"/>
          <w:sz w:val="22"/>
          <w:szCs w:val="22"/>
        </w:rPr>
        <w:t>. Prior to</w:t>
      </w:r>
      <w:r w:rsidR="001B723F">
        <w:rPr>
          <w:rFonts w:ascii="Arial" w:hAnsi="Arial" w:cs="Arial"/>
          <w:sz w:val="22"/>
          <w:szCs w:val="22"/>
        </w:rPr>
        <w:t xml:space="preserve"> talking with the sponsor</w:t>
      </w:r>
      <w:r w:rsidRPr="00804BDC">
        <w:rPr>
          <w:rFonts w:ascii="Arial" w:hAnsi="Arial" w:cs="Arial"/>
          <w:sz w:val="22"/>
          <w:szCs w:val="22"/>
        </w:rPr>
        <w:t>, it is also important to plan for the implementation of the payment terms. Will the payment schedule be monthly, quarterly, or based on completed and monitored case report forms? Will an invoice from the site be required? It is important to plan payment schedules in advance so sites know what to expect.</w:t>
      </w:r>
    </w:p>
    <w:p w14:paraId="0F51E759" w14:textId="77777777" w:rsidR="00753235" w:rsidRPr="00753235" w:rsidRDefault="00753235" w:rsidP="00753235">
      <w:pPr>
        <w:pStyle w:val="ListParagraph"/>
        <w:numPr>
          <w:ilvl w:val="0"/>
          <w:numId w:val="9"/>
        </w:numPr>
        <w:rPr>
          <w:rFonts w:ascii="Arial" w:hAnsi="Arial" w:cs="Arial"/>
          <w:sz w:val="22"/>
          <w:szCs w:val="22"/>
        </w:rPr>
      </w:pPr>
      <w:r w:rsidRPr="00753235">
        <w:rPr>
          <w:rFonts w:ascii="Arial" w:hAnsi="Arial" w:cs="Arial"/>
          <w:sz w:val="22"/>
          <w:szCs w:val="22"/>
        </w:rPr>
        <w:t>Budget Negotiation &amp; Completion</w:t>
      </w:r>
    </w:p>
    <w:p w14:paraId="0F51E75A" w14:textId="77777777" w:rsidR="00FC7FF4" w:rsidRPr="00FC7FF4" w:rsidRDefault="00FC7FF4" w:rsidP="00FC7FF4">
      <w:pPr>
        <w:pStyle w:val="ListParagraph"/>
        <w:numPr>
          <w:ilvl w:val="1"/>
          <w:numId w:val="9"/>
        </w:numPr>
        <w:rPr>
          <w:rFonts w:ascii="Arial" w:hAnsi="Arial" w:cs="Arial"/>
          <w:sz w:val="22"/>
          <w:szCs w:val="22"/>
        </w:rPr>
      </w:pPr>
      <w:r>
        <w:rPr>
          <w:rFonts w:ascii="Arial" w:hAnsi="Arial" w:cs="Arial"/>
          <w:sz w:val="22"/>
          <w:szCs w:val="22"/>
        </w:rPr>
        <w:t xml:space="preserve"> </w:t>
      </w:r>
      <w:r w:rsidR="00753235" w:rsidRPr="00FC7FF4">
        <w:rPr>
          <w:rFonts w:ascii="Arial" w:hAnsi="Arial" w:cs="Arial"/>
          <w:sz w:val="22"/>
          <w:szCs w:val="22"/>
        </w:rPr>
        <w:t>Department research administration provides the study budget to the sponsor along with justification documents and commences with budget negotiation, if required. The budget may be revised through negotiations with the sponsor until both sponsor and research group come to agreement on the study costs. Once negotiations are finalized, research administration enters negotiated costs into new version of the budget and submits this to OSP to incorporate into the CTA.</w:t>
      </w:r>
    </w:p>
    <w:p w14:paraId="0F51E75B" w14:textId="77777777" w:rsidR="00FC7FF4" w:rsidRDefault="00FC7FF4" w:rsidP="00FC7FF4">
      <w:pPr>
        <w:pStyle w:val="ListParagraph"/>
        <w:numPr>
          <w:ilvl w:val="0"/>
          <w:numId w:val="9"/>
        </w:numPr>
        <w:rPr>
          <w:rFonts w:ascii="Arial" w:hAnsi="Arial" w:cs="Arial"/>
          <w:sz w:val="22"/>
          <w:szCs w:val="22"/>
        </w:rPr>
      </w:pPr>
      <w:r>
        <w:rPr>
          <w:rFonts w:ascii="Arial" w:hAnsi="Arial" w:cs="Arial"/>
          <w:sz w:val="22"/>
          <w:szCs w:val="22"/>
        </w:rPr>
        <w:t>Negotiation of Specific Terms</w:t>
      </w:r>
    </w:p>
    <w:p w14:paraId="0F51E75C" w14:textId="77777777" w:rsidR="00FC7FF4" w:rsidRPr="00FC7FF4" w:rsidRDefault="00FC7FF4" w:rsidP="00FC7FF4">
      <w:pPr>
        <w:pStyle w:val="ListParagraph"/>
        <w:numPr>
          <w:ilvl w:val="1"/>
          <w:numId w:val="9"/>
        </w:numPr>
        <w:rPr>
          <w:rFonts w:ascii="Arial" w:hAnsi="Arial" w:cs="Arial"/>
          <w:sz w:val="22"/>
          <w:szCs w:val="22"/>
        </w:rPr>
      </w:pPr>
      <w:r w:rsidRPr="00FC7FF4">
        <w:rPr>
          <w:rFonts w:ascii="Arial" w:hAnsi="Arial" w:cs="Arial"/>
          <w:sz w:val="22"/>
          <w:szCs w:val="22"/>
        </w:rPr>
        <w:t>Some of the terms most commonly included in a CTA are set forth below. This list is not</w:t>
      </w:r>
      <w:r>
        <w:rPr>
          <w:rFonts w:ascii="Arial" w:hAnsi="Arial" w:cs="Arial"/>
          <w:sz w:val="22"/>
          <w:szCs w:val="22"/>
        </w:rPr>
        <w:t xml:space="preserve"> </w:t>
      </w:r>
      <w:r w:rsidRPr="00FC7FF4">
        <w:rPr>
          <w:rFonts w:ascii="Arial" w:hAnsi="Arial" w:cs="Arial"/>
          <w:sz w:val="22"/>
          <w:szCs w:val="22"/>
        </w:rPr>
        <w:t>intended to be comprehensive and does not capture every provision that may be found in a</w:t>
      </w:r>
      <w:r>
        <w:rPr>
          <w:rFonts w:ascii="Arial" w:hAnsi="Arial" w:cs="Arial"/>
          <w:sz w:val="22"/>
          <w:szCs w:val="22"/>
        </w:rPr>
        <w:t xml:space="preserve"> </w:t>
      </w:r>
      <w:r w:rsidRPr="00FC7FF4">
        <w:rPr>
          <w:rFonts w:ascii="Arial" w:hAnsi="Arial" w:cs="Arial"/>
          <w:sz w:val="22"/>
          <w:szCs w:val="22"/>
        </w:rPr>
        <w:t>CTA, which will depend on the form provided by the individual Sponsor. The Institution’s</w:t>
      </w:r>
      <w:r>
        <w:rPr>
          <w:rFonts w:ascii="Arial" w:hAnsi="Arial" w:cs="Arial"/>
          <w:sz w:val="22"/>
          <w:szCs w:val="22"/>
        </w:rPr>
        <w:t xml:space="preserve"> </w:t>
      </w:r>
      <w:r w:rsidRPr="00FC7FF4">
        <w:rPr>
          <w:rFonts w:ascii="Arial" w:hAnsi="Arial" w:cs="Arial"/>
          <w:sz w:val="22"/>
          <w:szCs w:val="22"/>
        </w:rPr>
        <w:t>preferred position with respect to the following areas is outlined below:  </w:t>
      </w:r>
    </w:p>
    <w:p w14:paraId="0F51E75D" w14:textId="77777777" w:rsidR="00FC7FF4" w:rsidRDefault="00FC7FF4" w:rsidP="00FC7FF4">
      <w:pPr>
        <w:pStyle w:val="ListParagraph"/>
        <w:ind w:left="2160"/>
        <w:rPr>
          <w:rFonts w:ascii="Arial" w:hAnsi="Arial" w:cs="Arial"/>
          <w:sz w:val="22"/>
          <w:szCs w:val="22"/>
        </w:rPr>
      </w:pPr>
      <w:r w:rsidRPr="00FC7FF4">
        <w:rPr>
          <w:rFonts w:ascii="Arial" w:hAnsi="Arial" w:cs="Arial"/>
          <w:sz w:val="22"/>
          <w:szCs w:val="22"/>
        </w:rPr>
        <w:t>• Data/Results;</w:t>
      </w:r>
    </w:p>
    <w:p w14:paraId="0F51E75E" w14:textId="77777777" w:rsidR="00CA17E4" w:rsidRPr="00CA17E4" w:rsidRDefault="00CA17E4" w:rsidP="00CA17E4">
      <w:pPr>
        <w:pStyle w:val="ListParagraph"/>
        <w:ind w:left="2160"/>
        <w:rPr>
          <w:rFonts w:ascii="Arial" w:hAnsi="Arial" w:cs="Arial"/>
          <w:sz w:val="22"/>
          <w:szCs w:val="22"/>
        </w:rPr>
      </w:pPr>
      <w:r>
        <w:rPr>
          <w:rFonts w:ascii="Arial" w:hAnsi="Arial" w:cs="Arial"/>
          <w:sz w:val="22"/>
          <w:szCs w:val="22"/>
        </w:rPr>
        <w:t>• Device Supply, Device Fees and Payment Terms</w:t>
      </w:r>
    </w:p>
    <w:p w14:paraId="0F51E75F" w14:textId="77777777" w:rsidR="00FC7FF4" w:rsidRDefault="00FC7FF4" w:rsidP="00FC7FF4">
      <w:pPr>
        <w:pStyle w:val="ListParagraph"/>
        <w:ind w:left="2160"/>
        <w:rPr>
          <w:rFonts w:ascii="Arial" w:hAnsi="Arial" w:cs="Arial"/>
          <w:sz w:val="22"/>
          <w:szCs w:val="22"/>
        </w:rPr>
      </w:pPr>
      <w:r w:rsidRPr="00FC7FF4">
        <w:rPr>
          <w:rFonts w:ascii="Arial" w:hAnsi="Arial" w:cs="Arial"/>
          <w:sz w:val="22"/>
          <w:szCs w:val="22"/>
        </w:rPr>
        <w:t>• Intellectual Property; </w:t>
      </w:r>
    </w:p>
    <w:p w14:paraId="0F51E760" w14:textId="77777777" w:rsidR="00CA17E4" w:rsidRDefault="00FC7FF4" w:rsidP="00FC7FF4">
      <w:pPr>
        <w:pStyle w:val="ListParagraph"/>
        <w:ind w:left="2160"/>
        <w:rPr>
          <w:rFonts w:ascii="Arial" w:hAnsi="Arial" w:cs="Arial"/>
          <w:sz w:val="22"/>
          <w:szCs w:val="22"/>
        </w:rPr>
      </w:pPr>
      <w:r>
        <w:rPr>
          <w:rFonts w:ascii="Arial" w:hAnsi="Arial" w:cs="Arial"/>
          <w:sz w:val="22"/>
          <w:szCs w:val="22"/>
        </w:rPr>
        <w:t>• Enrollment Goals</w:t>
      </w:r>
      <w:r w:rsidRPr="00FC7FF4">
        <w:rPr>
          <w:rFonts w:ascii="Arial" w:hAnsi="Arial" w:cs="Arial"/>
          <w:sz w:val="22"/>
          <w:szCs w:val="22"/>
        </w:rPr>
        <w:t>;</w:t>
      </w:r>
    </w:p>
    <w:p w14:paraId="0F51E761" w14:textId="77777777" w:rsidR="00FC7FF4" w:rsidRDefault="00CA17E4" w:rsidP="00CA17E4">
      <w:pPr>
        <w:pStyle w:val="ListParagraph"/>
        <w:ind w:left="2160"/>
        <w:rPr>
          <w:rFonts w:ascii="Arial" w:hAnsi="Arial" w:cs="Arial"/>
          <w:sz w:val="22"/>
          <w:szCs w:val="22"/>
        </w:rPr>
      </w:pPr>
      <w:r>
        <w:rPr>
          <w:rFonts w:ascii="Arial" w:hAnsi="Arial" w:cs="Arial"/>
          <w:sz w:val="22"/>
          <w:szCs w:val="22"/>
        </w:rPr>
        <w:t>• UAB IRB/WIRB Fees</w:t>
      </w:r>
    </w:p>
    <w:p w14:paraId="0F51E762" w14:textId="77777777" w:rsidR="00CA17E4" w:rsidRPr="00CA17E4" w:rsidRDefault="00CA17E4" w:rsidP="00CA17E4">
      <w:pPr>
        <w:pStyle w:val="ListParagraph"/>
        <w:ind w:left="2160"/>
        <w:rPr>
          <w:rFonts w:ascii="Arial" w:hAnsi="Arial" w:cs="Arial"/>
          <w:sz w:val="22"/>
          <w:szCs w:val="22"/>
        </w:rPr>
      </w:pPr>
      <w:r>
        <w:rPr>
          <w:rFonts w:ascii="Arial" w:hAnsi="Arial" w:cs="Arial"/>
          <w:sz w:val="22"/>
          <w:szCs w:val="22"/>
        </w:rPr>
        <w:t>• Exceptional Compensation Related to Enrollment</w:t>
      </w:r>
    </w:p>
    <w:p w14:paraId="0F51E763" w14:textId="77777777" w:rsidR="00FC7FF4" w:rsidRDefault="00FC7FF4" w:rsidP="00FC7FF4">
      <w:pPr>
        <w:pStyle w:val="ListParagraph"/>
        <w:ind w:left="2160"/>
        <w:rPr>
          <w:rFonts w:ascii="Arial" w:hAnsi="Arial" w:cs="Arial"/>
          <w:sz w:val="22"/>
          <w:szCs w:val="22"/>
        </w:rPr>
      </w:pPr>
      <w:r w:rsidRPr="00FC7FF4">
        <w:rPr>
          <w:rFonts w:ascii="Arial" w:hAnsi="Arial" w:cs="Arial"/>
          <w:sz w:val="22"/>
          <w:szCs w:val="22"/>
        </w:rPr>
        <w:t>• Publication; </w:t>
      </w:r>
    </w:p>
    <w:p w14:paraId="0F51E764" w14:textId="77777777" w:rsidR="00FC7FF4" w:rsidRDefault="00FC7FF4" w:rsidP="00FC7FF4">
      <w:pPr>
        <w:pStyle w:val="ListParagraph"/>
        <w:ind w:left="2160"/>
        <w:rPr>
          <w:rFonts w:ascii="Arial" w:hAnsi="Arial" w:cs="Arial"/>
          <w:sz w:val="22"/>
          <w:szCs w:val="22"/>
        </w:rPr>
      </w:pPr>
      <w:r>
        <w:rPr>
          <w:rFonts w:ascii="Arial" w:hAnsi="Arial" w:cs="Arial"/>
          <w:sz w:val="22"/>
          <w:szCs w:val="22"/>
        </w:rPr>
        <w:t>• P</w:t>
      </w:r>
      <w:r w:rsidR="00CA17E4">
        <w:rPr>
          <w:rFonts w:ascii="Arial" w:hAnsi="Arial" w:cs="Arial"/>
          <w:sz w:val="22"/>
          <w:szCs w:val="22"/>
        </w:rPr>
        <w:t>ayment Schedule and Payment Terms</w:t>
      </w:r>
      <w:r w:rsidRPr="00FC7FF4">
        <w:rPr>
          <w:rFonts w:ascii="Arial" w:hAnsi="Arial" w:cs="Arial"/>
          <w:sz w:val="22"/>
          <w:szCs w:val="22"/>
        </w:rPr>
        <w:t>;</w:t>
      </w:r>
    </w:p>
    <w:p w14:paraId="0F51E765" w14:textId="77777777" w:rsidR="00CA17E4" w:rsidRPr="00CA17E4" w:rsidRDefault="00CA17E4" w:rsidP="00CA17E4">
      <w:pPr>
        <w:pStyle w:val="ListParagraph"/>
        <w:ind w:left="2160"/>
        <w:rPr>
          <w:rFonts w:ascii="Arial" w:hAnsi="Arial" w:cs="Arial"/>
          <w:sz w:val="22"/>
          <w:szCs w:val="22"/>
        </w:rPr>
      </w:pPr>
      <w:r>
        <w:rPr>
          <w:rFonts w:ascii="Arial" w:hAnsi="Arial" w:cs="Arial"/>
          <w:sz w:val="22"/>
          <w:szCs w:val="22"/>
        </w:rPr>
        <w:t>• Invoicing</w:t>
      </w:r>
    </w:p>
    <w:p w14:paraId="0F51E766"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Confidential Information;</w:t>
      </w:r>
    </w:p>
    <w:p w14:paraId="0F51E767"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Indemnification/Insurance;  </w:t>
      </w:r>
    </w:p>
    <w:p w14:paraId="0F51E768"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Warranties/Limitation of Liability;  </w:t>
      </w:r>
    </w:p>
    <w:p w14:paraId="0F51E769" w14:textId="77777777" w:rsidR="00FC7FF4" w:rsidRPr="00FC7FF4" w:rsidRDefault="00CA17E4" w:rsidP="00FC7FF4">
      <w:pPr>
        <w:pStyle w:val="ListParagraph"/>
        <w:ind w:left="2160"/>
        <w:rPr>
          <w:rFonts w:ascii="Arial" w:hAnsi="Arial" w:cs="Arial"/>
          <w:sz w:val="22"/>
          <w:szCs w:val="22"/>
        </w:rPr>
      </w:pPr>
      <w:r>
        <w:rPr>
          <w:rFonts w:ascii="Arial" w:hAnsi="Arial" w:cs="Arial"/>
          <w:sz w:val="22"/>
          <w:szCs w:val="22"/>
        </w:rPr>
        <w:t>• Subject Travel Expenses</w:t>
      </w:r>
    </w:p>
    <w:p w14:paraId="0F51E76A" w14:textId="77777777" w:rsidR="00FC7FF4" w:rsidRDefault="00FC7FF4" w:rsidP="00FC7FF4">
      <w:pPr>
        <w:pStyle w:val="ListParagraph"/>
        <w:ind w:left="2160"/>
        <w:rPr>
          <w:rFonts w:ascii="Arial" w:hAnsi="Arial" w:cs="Arial"/>
          <w:sz w:val="22"/>
          <w:szCs w:val="22"/>
        </w:rPr>
      </w:pPr>
      <w:r w:rsidRPr="00FC7FF4">
        <w:rPr>
          <w:rFonts w:ascii="Arial" w:hAnsi="Arial" w:cs="Arial"/>
          <w:sz w:val="22"/>
          <w:szCs w:val="22"/>
        </w:rPr>
        <w:t>• Termination</w:t>
      </w:r>
    </w:p>
    <w:p w14:paraId="0F51E76B" w14:textId="77777777" w:rsidR="00FC7FF4" w:rsidRDefault="00FC7FF4" w:rsidP="00FC7FF4">
      <w:pPr>
        <w:pStyle w:val="ListParagraph"/>
        <w:numPr>
          <w:ilvl w:val="0"/>
          <w:numId w:val="9"/>
        </w:numPr>
        <w:rPr>
          <w:rFonts w:ascii="Arial" w:hAnsi="Arial" w:cs="Arial"/>
          <w:sz w:val="22"/>
          <w:szCs w:val="22"/>
        </w:rPr>
      </w:pPr>
      <w:r>
        <w:rPr>
          <w:rFonts w:ascii="Arial" w:hAnsi="Arial" w:cs="Arial"/>
          <w:sz w:val="22"/>
          <w:szCs w:val="22"/>
        </w:rPr>
        <w:t>Negotiation of Miscellaneous Terms;</w:t>
      </w:r>
    </w:p>
    <w:p w14:paraId="0F51E76C" w14:textId="77777777" w:rsidR="00FC7FF4" w:rsidRDefault="00FC7FF4" w:rsidP="00FC7FF4">
      <w:pPr>
        <w:pStyle w:val="ListParagraph"/>
        <w:numPr>
          <w:ilvl w:val="1"/>
          <w:numId w:val="9"/>
        </w:numPr>
        <w:rPr>
          <w:rFonts w:ascii="Arial" w:hAnsi="Arial" w:cs="Arial"/>
          <w:sz w:val="22"/>
          <w:szCs w:val="22"/>
        </w:rPr>
      </w:pPr>
      <w:r w:rsidRPr="00FC7FF4">
        <w:rPr>
          <w:rFonts w:ascii="Arial" w:hAnsi="Arial" w:cs="Arial"/>
          <w:sz w:val="22"/>
          <w:szCs w:val="22"/>
        </w:rPr>
        <w:t>A few of the other standard provisions that are frequently seen in CTAs and</w:t>
      </w:r>
      <w:r>
        <w:rPr>
          <w:rFonts w:ascii="Arial" w:hAnsi="Arial" w:cs="Arial"/>
          <w:sz w:val="22"/>
          <w:szCs w:val="22"/>
        </w:rPr>
        <w:t xml:space="preserve"> </w:t>
      </w:r>
      <w:r w:rsidRPr="00FC7FF4">
        <w:rPr>
          <w:rFonts w:ascii="Arial" w:hAnsi="Arial" w:cs="Arial"/>
          <w:sz w:val="22"/>
          <w:szCs w:val="22"/>
        </w:rPr>
        <w:t>which typically do not require extensive negotiation include, among others:</w:t>
      </w:r>
    </w:p>
    <w:p w14:paraId="0F51E76D"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Requirement on the part of the Institution to abide by Good Clinical Practice (FDA</w:t>
      </w:r>
      <w:r>
        <w:rPr>
          <w:rFonts w:ascii="Arial" w:hAnsi="Arial" w:cs="Arial"/>
          <w:sz w:val="22"/>
          <w:szCs w:val="22"/>
        </w:rPr>
        <w:t xml:space="preserve"> </w:t>
      </w:r>
      <w:r w:rsidRPr="00FC7FF4">
        <w:rPr>
          <w:rFonts w:ascii="Arial" w:hAnsi="Arial" w:cs="Arial"/>
          <w:sz w:val="22"/>
          <w:szCs w:val="22"/>
        </w:rPr>
        <w:t>regulations)</w:t>
      </w:r>
    </w:p>
    <w:p w14:paraId="0F51E76E"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Requirement to obtain ICF/HIPAA authorization from subjects (required by Privacy Rule</w:t>
      </w:r>
      <w:r>
        <w:rPr>
          <w:rFonts w:ascii="Arial" w:hAnsi="Arial" w:cs="Arial"/>
          <w:sz w:val="22"/>
          <w:szCs w:val="22"/>
        </w:rPr>
        <w:t xml:space="preserve"> </w:t>
      </w:r>
      <w:r w:rsidRPr="00FC7FF4">
        <w:rPr>
          <w:rFonts w:ascii="Arial" w:hAnsi="Arial" w:cs="Arial"/>
          <w:sz w:val="22"/>
          <w:szCs w:val="22"/>
        </w:rPr>
        <w:t>established by HHS under HIPAA)</w:t>
      </w:r>
    </w:p>
    <w:p w14:paraId="0F51E76F" w14:textId="77777777" w:rsidR="00FC7FF4" w:rsidRPr="00FC7FF4" w:rsidRDefault="00FC7FF4" w:rsidP="00FC7FF4">
      <w:pPr>
        <w:pStyle w:val="ListParagraph"/>
        <w:ind w:left="2160"/>
        <w:rPr>
          <w:rFonts w:ascii="Arial" w:hAnsi="Arial" w:cs="Arial"/>
          <w:sz w:val="22"/>
          <w:szCs w:val="22"/>
        </w:rPr>
      </w:pPr>
      <w:r>
        <w:rPr>
          <w:rFonts w:ascii="Arial" w:hAnsi="Arial" w:cs="Arial"/>
          <w:sz w:val="22"/>
          <w:szCs w:val="22"/>
        </w:rPr>
        <w:t>• Debarment of, </w:t>
      </w:r>
      <w:r w:rsidRPr="00FC7FF4">
        <w:rPr>
          <w:rFonts w:ascii="Arial" w:hAnsi="Arial" w:cs="Arial"/>
          <w:sz w:val="22"/>
          <w:szCs w:val="22"/>
        </w:rPr>
        <w:t>or other sanctions imposed on, Study personnel  </w:t>
      </w:r>
    </w:p>
    <w:p w14:paraId="0F51E770" w14:textId="77777777" w:rsidR="00FC7FF4" w:rsidRPr="00FC7FF4" w:rsidRDefault="00FC7FF4" w:rsidP="00FC7FF4">
      <w:pPr>
        <w:pStyle w:val="ListParagraph"/>
        <w:ind w:left="2160"/>
        <w:rPr>
          <w:rFonts w:ascii="Arial" w:hAnsi="Arial" w:cs="Arial"/>
          <w:sz w:val="22"/>
          <w:szCs w:val="22"/>
        </w:rPr>
      </w:pPr>
      <w:r>
        <w:rPr>
          <w:rFonts w:ascii="Arial" w:hAnsi="Arial" w:cs="Arial"/>
          <w:sz w:val="22"/>
          <w:szCs w:val="22"/>
        </w:rPr>
        <w:t xml:space="preserve">• Inspection/audit of the </w:t>
      </w:r>
      <w:r w:rsidRPr="00FC7FF4">
        <w:rPr>
          <w:rFonts w:ascii="Arial" w:hAnsi="Arial" w:cs="Arial"/>
          <w:sz w:val="22"/>
          <w:szCs w:val="22"/>
        </w:rPr>
        <w:t>Trial by the Sponsor</w:t>
      </w:r>
    </w:p>
    <w:p w14:paraId="0F51E771"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Governmental inspections</w:t>
      </w:r>
    </w:p>
    <w:p w14:paraId="0F51E772"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Notification of adverse events</w:t>
      </w:r>
    </w:p>
    <w:p w14:paraId="0F51E773"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Retention of Study records</w:t>
      </w:r>
    </w:p>
    <w:p w14:paraId="0F51E774"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Publicity restrictions</w:t>
      </w:r>
    </w:p>
    <w:p w14:paraId="0F51E775" w14:textId="77777777" w:rsidR="00FC7FF4" w:rsidRPr="00FC7FF4" w:rsidRDefault="00FC7FF4" w:rsidP="00FC7FF4">
      <w:pPr>
        <w:pStyle w:val="ListParagraph"/>
        <w:ind w:left="2160"/>
        <w:rPr>
          <w:rFonts w:ascii="Arial" w:hAnsi="Arial" w:cs="Arial"/>
          <w:sz w:val="22"/>
          <w:szCs w:val="22"/>
        </w:rPr>
      </w:pPr>
      <w:r w:rsidRPr="00FC7FF4">
        <w:rPr>
          <w:rFonts w:ascii="Arial" w:hAnsi="Arial" w:cs="Arial"/>
          <w:sz w:val="22"/>
          <w:szCs w:val="22"/>
        </w:rPr>
        <w:t>• Registration on clinicaltrials.gov</w:t>
      </w:r>
    </w:p>
    <w:p w14:paraId="0F51E776" w14:textId="77777777" w:rsidR="00FC7FF4" w:rsidRPr="00FC7FF4" w:rsidRDefault="00FC7FF4" w:rsidP="00FC7FF4">
      <w:pPr>
        <w:rPr>
          <w:rFonts w:ascii="Arial" w:hAnsi="Arial" w:cs="Arial"/>
          <w:sz w:val="22"/>
          <w:szCs w:val="22"/>
        </w:rPr>
      </w:pPr>
    </w:p>
    <w:p w14:paraId="0F51E777" w14:textId="77777777" w:rsidR="00804BDC" w:rsidRDefault="00804BDC" w:rsidP="00804BDC">
      <w:pPr>
        <w:pStyle w:val="ListParagraph"/>
        <w:numPr>
          <w:ilvl w:val="0"/>
          <w:numId w:val="8"/>
        </w:numPr>
        <w:rPr>
          <w:rFonts w:ascii="Arial" w:hAnsi="Arial" w:cs="Arial"/>
          <w:sz w:val="22"/>
          <w:szCs w:val="22"/>
        </w:rPr>
      </w:pPr>
      <w:r>
        <w:rPr>
          <w:rFonts w:ascii="Arial" w:hAnsi="Arial" w:cs="Arial"/>
          <w:sz w:val="22"/>
          <w:szCs w:val="22"/>
        </w:rPr>
        <w:t xml:space="preserve"> Contract Process</w:t>
      </w:r>
    </w:p>
    <w:p w14:paraId="0F51E778" w14:textId="77777777" w:rsidR="00804BDC" w:rsidRDefault="004E0637" w:rsidP="00804BDC">
      <w:pPr>
        <w:pStyle w:val="ListParagraph"/>
        <w:numPr>
          <w:ilvl w:val="1"/>
          <w:numId w:val="8"/>
        </w:numPr>
        <w:rPr>
          <w:rFonts w:ascii="Arial" w:hAnsi="Arial" w:cs="Arial"/>
          <w:sz w:val="22"/>
          <w:szCs w:val="22"/>
        </w:rPr>
      </w:pPr>
      <w:r>
        <w:rPr>
          <w:rFonts w:ascii="Arial" w:hAnsi="Arial" w:cs="Arial"/>
          <w:sz w:val="22"/>
          <w:szCs w:val="22"/>
        </w:rPr>
        <w:t xml:space="preserve">The first step in the contracting process </w:t>
      </w:r>
      <w:r w:rsidR="00F334C2">
        <w:rPr>
          <w:rFonts w:ascii="Arial" w:hAnsi="Arial" w:cs="Arial"/>
          <w:sz w:val="22"/>
          <w:szCs w:val="22"/>
        </w:rPr>
        <w:t>is receiving</w:t>
      </w:r>
      <w:r>
        <w:rPr>
          <w:rFonts w:ascii="Arial" w:hAnsi="Arial" w:cs="Arial"/>
          <w:sz w:val="22"/>
          <w:szCs w:val="22"/>
        </w:rPr>
        <w:t xml:space="preserve"> a draft contract from the potential sponsor as a Word document.  Additionally, as a general reference for sponsors, UAB’s Office of Sponsored Programs (OSP) provides a guideline document, “UAB Contract Language Guidelines for Industry Sponsors of Clinical Trial Agreements” that can be accessed through its website (</w:t>
      </w:r>
      <w:hyperlink r:id="rId12" w:history="1">
        <w:r w:rsidR="006B7873" w:rsidRPr="006F7154">
          <w:rPr>
            <w:rStyle w:val="Hyperlink"/>
            <w:rFonts w:ascii="Arial" w:hAnsi="Arial" w:cs="Arial"/>
            <w:sz w:val="22"/>
            <w:szCs w:val="22"/>
          </w:rPr>
          <w:t>www.uab.edu/osp</w:t>
        </w:r>
      </w:hyperlink>
      <w:r w:rsidR="006B7873">
        <w:rPr>
          <w:rFonts w:ascii="Arial" w:hAnsi="Arial" w:cs="Arial"/>
          <w:sz w:val="22"/>
          <w:szCs w:val="22"/>
        </w:rPr>
        <w:t xml:space="preserve">) </w:t>
      </w:r>
      <w:r w:rsidR="00053F8C">
        <w:rPr>
          <w:rFonts w:ascii="Arial" w:hAnsi="Arial" w:cs="Arial"/>
          <w:sz w:val="22"/>
          <w:szCs w:val="22"/>
        </w:rPr>
        <w:t>via</w:t>
      </w:r>
      <w:r w:rsidR="006B7873">
        <w:rPr>
          <w:rFonts w:ascii="Arial" w:hAnsi="Arial" w:cs="Arial"/>
          <w:sz w:val="22"/>
          <w:szCs w:val="22"/>
        </w:rPr>
        <w:t xml:space="preserve"> the “Research’s Toolkit” </w:t>
      </w:r>
      <w:r w:rsidR="00053F8C">
        <w:rPr>
          <w:rFonts w:ascii="Arial" w:hAnsi="Arial" w:cs="Arial"/>
          <w:sz w:val="22"/>
          <w:szCs w:val="22"/>
        </w:rPr>
        <w:t>link</w:t>
      </w:r>
      <w:r w:rsidR="006B7873">
        <w:rPr>
          <w:rFonts w:ascii="Arial" w:hAnsi="Arial" w:cs="Arial"/>
          <w:sz w:val="22"/>
          <w:szCs w:val="22"/>
        </w:rPr>
        <w:t>.</w:t>
      </w:r>
      <w:r w:rsidR="00053F8C">
        <w:rPr>
          <w:rFonts w:ascii="Arial" w:hAnsi="Arial" w:cs="Arial"/>
          <w:sz w:val="22"/>
          <w:szCs w:val="22"/>
        </w:rPr>
        <w:t xml:space="preserve">  The Principal Investigator (PI) as well as a designated Department Administrator, and any other appropriate staff, should read through the contract</w:t>
      </w:r>
      <w:r w:rsidR="005B5F73">
        <w:rPr>
          <w:rFonts w:ascii="Arial" w:hAnsi="Arial" w:cs="Arial"/>
          <w:sz w:val="22"/>
          <w:szCs w:val="22"/>
        </w:rPr>
        <w:t xml:space="preserve"> and understand the commitments/obligations.  After review and Departmental approval, the contract should be sent via e-mail to OSP at </w:t>
      </w:r>
      <w:hyperlink r:id="rId13" w:history="1">
        <w:r w:rsidR="005B5F73" w:rsidRPr="006F7154">
          <w:rPr>
            <w:rStyle w:val="Hyperlink"/>
            <w:rFonts w:ascii="Arial" w:hAnsi="Arial" w:cs="Arial"/>
            <w:sz w:val="22"/>
            <w:szCs w:val="22"/>
          </w:rPr>
          <w:t>osp@uab.edu</w:t>
        </w:r>
      </w:hyperlink>
      <w:r w:rsidR="005B5F73">
        <w:rPr>
          <w:rFonts w:ascii="Arial" w:hAnsi="Arial" w:cs="Arial"/>
          <w:sz w:val="22"/>
          <w:szCs w:val="22"/>
        </w:rPr>
        <w:t xml:space="preserve">.  When e-mailing the contract, in the subject line of the e-mail, include the PI’s name, the sponsor’s name and the project title.  </w:t>
      </w:r>
      <w:r w:rsidR="00910F32">
        <w:rPr>
          <w:rFonts w:ascii="Arial" w:hAnsi="Arial" w:cs="Arial"/>
          <w:sz w:val="22"/>
          <w:szCs w:val="22"/>
        </w:rPr>
        <w:t>In addition, when submitting the contract for review, a copy of the protocol and informed consent form should also be submitted to OSP.  Other items may also be required at the time of submission (please see “CPAP – Navigating the Clinical Protocol Activation Process for Industry-Written and Sponsored Clinical Trials” located on the OSP website in the “Researcher’s Toolkit</w:t>
      </w:r>
      <w:r w:rsidR="00775FB7">
        <w:rPr>
          <w:rFonts w:ascii="Arial" w:hAnsi="Arial" w:cs="Arial"/>
          <w:sz w:val="22"/>
          <w:szCs w:val="22"/>
        </w:rPr>
        <w:t>”</w:t>
      </w:r>
      <w:r w:rsidR="00910F32">
        <w:rPr>
          <w:rFonts w:ascii="Arial" w:hAnsi="Arial" w:cs="Arial"/>
          <w:sz w:val="22"/>
          <w:szCs w:val="22"/>
        </w:rPr>
        <w:t xml:space="preserve"> section).  </w:t>
      </w:r>
      <w:r w:rsidR="005B5F73">
        <w:rPr>
          <w:rFonts w:ascii="Arial" w:hAnsi="Arial" w:cs="Arial"/>
          <w:sz w:val="22"/>
          <w:szCs w:val="22"/>
        </w:rPr>
        <w:t xml:space="preserve">At the same time, the Department should also fill out an “Extramural Support Checklist” and a “Responsible Personnel List” </w:t>
      </w:r>
      <w:r w:rsidR="00F334C2">
        <w:rPr>
          <w:rFonts w:ascii="Arial" w:hAnsi="Arial" w:cs="Arial"/>
          <w:sz w:val="22"/>
          <w:szCs w:val="22"/>
        </w:rPr>
        <w:t xml:space="preserve">(accessed through OSP’s website) </w:t>
      </w:r>
      <w:r w:rsidR="005B5F73">
        <w:rPr>
          <w:rFonts w:ascii="Arial" w:hAnsi="Arial" w:cs="Arial"/>
          <w:sz w:val="22"/>
          <w:szCs w:val="22"/>
        </w:rPr>
        <w:t>and submit hard copies with appropriate signatures to OSP.</w:t>
      </w:r>
      <w:r w:rsidR="000E4B42">
        <w:rPr>
          <w:rFonts w:ascii="Arial" w:hAnsi="Arial" w:cs="Arial"/>
          <w:sz w:val="22"/>
          <w:szCs w:val="22"/>
        </w:rPr>
        <w:t xml:space="preserve">  The budget does not have to be finalized at this stage.  The “Request</w:t>
      </w:r>
      <w:r w:rsidR="00774589">
        <w:rPr>
          <w:rFonts w:ascii="Arial" w:hAnsi="Arial" w:cs="Arial"/>
          <w:sz w:val="22"/>
          <w:szCs w:val="22"/>
        </w:rPr>
        <w:t>ed</w:t>
      </w:r>
      <w:r w:rsidR="000E4B42">
        <w:rPr>
          <w:rFonts w:ascii="Arial" w:hAnsi="Arial" w:cs="Arial"/>
          <w:sz w:val="22"/>
          <w:szCs w:val="22"/>
        </w:rPr>
        <w:t xml:space="preserve"> Funding” and “Requested Project Period Dates” of the “Extramural Support Checklist” </w:t>
      </w:r>
      <w:r w:rsidR="00CD249F">
        <w:rPr>
          <w:rFonts w:ascii="Arial" w:hAnsi="Arial" w:cs="Arial"/>
          <w:sz w:val="22"/>
          <w:szCs w:val="22"/>
        </w:rPr>
        <w:t>may</w:t>
      </w:r>
      <w:r w:rsidR="000E4B42">
        <w:rPr>
          <w:rFonts w:ascii="Arial" w:hAnsi="Arial" w:cs="Arial"/>
          <w:sz w:val="22"/>
          <w:szCs w:val="22"/>
        </w:rPr>
        <w:t xml:space="preserve"> be left blank when initially submitting.</w:t>
      </w:r>
      <w:r w:rsidR="00910F32">
        <w:rPr>
          <w:rFonts w:ascii="Arial" w:hAnsi="Arial" w:cs="Arial"/>
          <w:sz w:val="22"/>
          <w:szCs w:val="22"/>
        </w:rPr>
        <w:t xml:space="preserve">  </w:t>
      </w:r>
    </w:p>
    <w:p w14:paraId="0F51E779" w14:textId="77777777" w:rsidR="00774589" w:rsidRDefault="00774589" w:rsidP="00804BDC">
      <w:pPr>
        <w:pStyle w:val="ListParagraph"/>
        <w:numPr>
          <w:ilvl w:val="1"/>
          <w:numId w:val="8"/>
        </w:numPr>
        <w:rPr>
          <w:rFonts w:ascii="Arial" w:hAnsi="Arial" w:cs="Arial"/>
          <w:sz w:val="22"/>
          <w:szCs w:val="22"/>
        </w:rPr>
      </w:pPr>
      <w:r>
        <w:rPr>
          <w:rFonts w:ascii="Arial" w:hAnsi="Arial" w:cs="Arial"/>
          <w:sz w:val="22"/>
          <w:szCs w:val="22"/>
        </w:rPr>
        <w:t>After the budget has been finalized, it should be forwarded to OSP.</w:t>
      </w:r>
    </w:p>
    <w:p w14:paraId="0F51E77A" w14:textId="77777777" w:rsidR="003620C2" w:rsidRPr="00804BDC" w:rsidRDefault="001255E3" w:rsidP="00804BDC">
      <w:pPr>
        <w:pStyle w:val="ListParagraph"/>
        <w:numPr>
          <w:ilvl w:val="1"/>
          <w:numId w:val="8"/>
        </w:numPr>
        <w:rPr>
          <w:rFonts w:ascii="Arial" w:hAnsi="Arial" w:cs="Arial"/>
          <w:sz w:val="22"/>
          <w:szCs w:val="22"/>
        </w:rPr>
      </w:pPr>
      <w:r>
        <w:rPr>
          <w:rFonts w:ascii="Arial" w:hAnsi="Arial" w:cs="Arial"/>
          <w:sz w:val="22"/>
          <w:szCs w:val="22"/>
        </w:rPr>
        <w:t>The contract officer at OSP will be the point of communication with the sponsor during the contract negotiation phase.  Once an agreement has been reached</w:t>
      </w:r>
      <w:r w:rsidR="00996C7B">
        <w:rPr>
          <w:rFonts w:ascii="Arial" w:hAnsi="Arial" w:cs="Arial"/>
          <w:sz w:val="22"/>
          <w:szCs w:val="22"/>
        </w:rPr>
        <w:t xml:space="preserve"> on contract wording</w:t>
      </w:r>
      <w:r>
        <w:rPr>
          <w:rFonts w:ascii="Arial" w:hAnsi="Arial" w:cs="Arial"/>
          <w:sz w:val="22"/>
          <w:szCs w:val="22"/>
        </w:rPr>
        <w:t xml:space="preserve">, OSP will forward </w:t>
      </w:r>
      <w:r w:rsidR="00996C7B">
        <w:rPr>
          <w:rFonts w:ascii="Arial" w:hAnsi="Arial" w:cs="Arial"/>
          <w:sz w:val="22"/>
          <w:szCs w:val="22"/>
        </w:rPr>
        <w:t>a final version of the contract to the Department.  The PI as well as a designated Department Administrator, and any other appropriate staff, should read through the final contract and understand the commitments/obligations.  If approved by the Department, the PI will sign the contract and send it back to OSP.  The contract will then go through the final execution process.</w:t>
      </w:r>
    </w:p>
    <w:p w14:paraId="0F51E77B" w14:textId="77777777" w:rsidR="00626A22" w:rsidRPr="0062047B" w:rsidRDefault="00626A22" w:rsidP="00626A22">
      <w:pPr>
        <w:pStyle w:val="ListParagraph"/>
        <w:ind w:left="1080"/>
        <w:rPr>
          <w:rFonts w:ascii="Arial" w:hAnsi="Arial" w:cs="Arial"/>
          <w:sz w:val="22"/>
          <w:szCs w:val="22"/>
        </w:rPr>
      </w:pPr>
    </w:p>
    <w:p w14:paraId="0F51E77C" w14:textId="77777777" w:rsidR="004820BF" w:rsidRPr="0062047B" w:rsidRDefault="004820BF" w:rsidP="00F44AA6">
      <w:pPr>
        <w:rPr>
          <w:rFonts w:ascii="Arial" w:hAnsi="Arial" w:cs="Arial"/>
          <w:sz w:val="22"/>
          <w:szCs w:val="22"/>
        </w:rPr>
      </w:pPr>
    </w:p>
    <w:p w14:paraId="0F51E77D" w14:textId="77777777" w:rsidR="004D3251" w:rsidRPr="0062047B"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II</w:t>
      </w:r>
      <w:r w:rsidRPr="0062047B">
        <w:rPr>
          <w:rFonts w:ascii="Arial" w:hAnsi="Arial" w:cs="Arial"/>
          <w:b/>
          <w:sz w:val="22"/>
          <w:szCs w:val="22"/>
        </w:rPr>
        <w:t>I.</w:t>
      </w:r>
      <w:r w:rsidRPr="0062047B">
        <w:rPr>
          <w:rFonts w:ascii="Arial" w:hAnsi="Arial" w:cs="Arial"/>
          <w:b/>
          <w:sz w:val="22"/>
          <w:szCs w:val="22"/>
        </w:rPr>
        <w:tab/>
        <w:t xml:space="preserve">QA </w:t>
      </w:r>
    </w:p>
    <w:p w14:paraId="0F51E77E" w14:textId="77777777" w:rsidR="004D3251" w:rsidRPr="0062047B" w:rsidRDefault="008C7F01" w:rsidP="00F44AA6">
      <w:pPr>
        <w:outlineLvl w:val="0"/>
        <w:rPr>
          <w:rFonts w:ascii="Arial" w:hAnsi="Arial" w:cs="Arial"/>
          <w:sz w:val="22"/>
          <w:szCs w:val="22"/>
        </w:rPr>
      </w:pPr>
      <w:r w:rsidRPr="0062047B">
        <w:rPr>
          <w:rFonts w:ascii="Arial" w:hAnsi="Arial" w:cs="Arial"/>
          <w:sz w:val="22"/>
          <w:szCs w:val="22"/>
        </w:rPr>
        <w:tab/>
        <w:t>NA</w:t>
      </w:r>
    </w:p>
    <w:p w14:paraId="0F51E77F" w14:textId="77777777" w:rsidR="00F44AA6" w:rsidRPr="0062047B" w:rsidRDefault="00F44AA6" w:rsidP="00F44AA6">
      <w:pPr>
        <w:rPr>
          <w:rFonts w:ascii="Arial" w:hAnsi="Arial" w:cs="Arial"/>
          <w:sz w:val="22"/>
          <w:szCs w:val="22"/>
        </w:rPr>
      </w:pPr>
      <w:r w:rsidRPr="0062047B">
        <w:rPr>
          <w:rFonts w:ascii="Arial" w:hAnsi="Arial" w:cs="Arial"/>
          <w:b/>
          <w:sz w:val="22"/>
          <w:szCs w:val="22"/>
        </w:rPr>
        <w:tab/>
      </w:r>
    </w:p>
    <w:p w14:paraId="0F51E780" w14:textId="77777777" w:rsidR="00F44AA6" w:rsidRPr="0062047B" w:rsidRDefault="009869B2" w:rsidP="00F44AA6">
      <w:pPr>
        <w:jc w:val="both"/>
        <w:outlineLvl w:val="0"/>
        <w:rPr>
          <w:rFonts w:ascii="Arial" w:hAnsi="Arial" w:cs="Arial"/>
          <w:b/>
          <w:sz w:val="22"/>
          <w:szCs w:val="22"/>
        </w:rPr>
      </w:pPr>
      <w:r w:rsidRPr="0062047B">
        <w:rPr>
          <w:rFonts w:ascii="Arial" w:hAnsi="Arial" w:cs="Arial"/>
          <w:b/>
          <w:sz w:val="22"/>
          <w:szCs w:val="22"/>
        </w:rPr>
        <w:t>IX</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p>
    <w:p w14:paraId="0F51E781" w14:textId="77777777" w:rsidR="00626A22" w:rsidRPr="0062047B" w:rsidRDefault="00753235" w:rsidP="00F44AA6">
      <w:pPr>
        <w:jc w:val="both"/>
        <w:rPr>
          <w:rFonts w:ascii="Arial" w:hAnsi="Arial" w:cs="Arial"/>
          <w:b/>
          <w:sz w:val="22"/>
          <w:szCs w:val="22"/>
        </w:rPr>
      </w:pPr>
      <w:r>
        <w:rPr>
          <w:rFonts w:ascii="Arial" w:hAnsi="Arial" w:cs="Arial"/>
          <w:b/>
          <w:sz w:val="22"/>
          <w:szCs w:val="22"/>
        </w:rPr>
        <w:t>Appendix A – Research Protocol Start-Up Flow Chart</w:t>
      </w:r>
    </w:p>
    <w:p w14:paraId="0F51E782" w14:textId="77777777" w:rsidR="004820BF" w:rsidRPr="0062047B" w:rsidRDefault="004820BF" w:rsidP="00F44AA6">
      <w:pPr>
        <w:jc w:val="both"/>
        <w:rPr>
          <w:rFonts w:ascii="Arial" w:hAnsi="Arial" w:cs="Arial"/>
          <w:b/>
          <w:sz w:val="22"/>
          <w:szCs w:val="22"/>
        </w:rPr>
      </w:pPr>
    </w:p>
    <w:p w14:paraId="0F51E783" w14:textId="77777777" w:rsidR="00F44AA6" w:rsidRPr="0062047B" w:rsidRDefault="009869B2" w:rsidP="00F44AA6">
      <w:pPr>
        <w:jc w:val="both"/>
        <w:outlineLvl w:val="0"/>
        <w:rPr>
          <w:rFonts w:ascii="Arial" w:hAnsi="Arial" w:cs="Arial"/>
          <w:b/>
          <w:sz w:val="22"/>
          <w:szCs w:val="22"/>
        </w:rPr>
      </w:pPr>
      <w:r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0F51E784" w14:textId="77777777" w:rsidR="008C7F01" w:rsidRPr="0062047B" w:rsidRDefault="008C7F01" w:rsidP="00F44AA6">
      <w:pPr>
        <w:jc w:val="both"/>
        <w:outlineLvl w:val="0"/>
        <w:rPr>
          <w:rFonts w:ascii="Arial" w:hAnsi="Arial" w:cs="Arial"/>
          <w:b/>
          <w:sz w:val="22"/>
          <w:szCs w:val="22"/>
        </w:rPr>
      </w:pPr>
      <w:r w:rsidRPr="0062047B">
        <w:rPr>
          <w:rFonts w:ascii="Arial" w:hAnsi="Arial" w:cs="Arial"/>
          <w:b/>
          <w:sz w:val="22"/>
          <w:szCs w:val="22"/>
        </w:rPr>
        <w:t>NA</w:t>
      </w:r>
    </w:p>
    <w:p w14:paraId="0F51E785" w14:textId="77777777" w:rsidR="004820BF" w:rsidRPr="007A3D6B" w:rsidRDefault="004820BF" w:rsidP="00F44AA6">
      <w:pPr>
        <w:jc w:val="both"/>
        <w:outlineLvl w:val="0"/>
        <w:rPr>
          <w:rFonts w:ascii="Arial" w:hAnsi="Arial" w:cs="Arial"/>
          <w:b/>
          <w:sz w:val="22"/>
          <w:szCs w:val="22"/>
        </w:rPr>
      </w:pPr>
    </w:p>
    <w:sectPr w:rsidR="004820BF" w:rsidRPr="007A3D6B" w:rsidSect="002C1F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1E788" w14:textId="77777777" w:rsidR="00334D8D" w:rsidRDefault="00334D8D" w:rsidP="00927A1E">
      <w:r>
        <w:separator/>
      </w:r>
    </w:p>
  </w:endnote>
  <w:endnote w:type="continuationSeparator" w:id="0">
    <w:p w14:paraId="0F51E789" w14:textId="77777777" w:rsidR="00334D8D" w:rsidRDefault="00334D8D"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0F51E78C" w14:textId="77777777"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753235">
              <w:t>10/31/2014</w:t>
            </w:r>
          </w:p>
          <w:p w14:paraId="0F51E78D"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537322">
              <w:rPr>
                <w:b/>
                <w:noProof/>
              </w:rPr>
              <w:t>1</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537322">
              <w:rPr>
                <w:b/>
                <w:noProof/>
              </w:rPr>
              <w:t>5</w:t>
            </w:r>
            <w:r w:rsidR="006C43BC">
              <w:rPr>
                <w:b/>
              </w:rPr>
              <w:fldChar w:fldCharType="end"/>
            </w:r>
          </w:p>
        </w:sdtContent>
      </w:sdt>
    </w:sdtContent>
  </w:sdt>
  <w:p w14:paraId="0F51E78E"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1E786" w14:textId="77777777" w:rsidR="00334D8D" w:rsidRDefault="00334D8D" w:rsidP="00927A1E">
      <w:r>
        <w:separator/>
      </w:r>
    </w:p>
  </w:footnote>
  <w:footnote w:type="continuationSeparator" w:id="0">
    <w:p w14:paraId="0F51E787" w14:textId="77777777" w:rsidR="00334D8D" w:rsidRDefault="00334D8D"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E78A" w14:textId="19DD283C" w:rsidR="004D3251" w:rsidRPr="00F54764" w:rsidRDefault="008C7F01" w:rsidP="00DE68B4">
    <w:pPr>
      <w:pStyle w:val="Header"/>
      <w:rPr>
        <w:rFonts w:ascii="Arial" w:hAnsi="Arial" w:cs="Arial"/>
        <w:lang w:val="fr-FR"/>
      </w:rPr>
    </w:pPr>
    <w:r>
      <w:rPr>
        <w:rFonts w:ascii="Arial" w:hAnsi="Arial" w:cs="Arial"/>
        <w:lang w:val="fr-FR"/>
      </w:rPr>
      <w:t xml:space="preserve">Version </w:t>
    </w:r>
    <w:r w:rsidR="00F34ED6">
      <w:rPr>
        <w:rFonts w:ascii="Arial" w:hAnsi="Arial" w:cs="Arial"/>
        <w:lang w:val="fr-FR"/>
      </w:rPr>
      <w:t>1.0 dd/mm/</w:t>
    </w:r>
    <w:proofErr w:type="spellStart"/>
    <w:r w:rsidR="00F34ED6">
      <w:rPr>
        <w:rFonts w:ascii="Arial" w:hAnsi="Arial" w:cs="Arial"/>
        <w:lang w:val="fr-FR"/>
      </w:rPr>
      <w:t>yyyy</w:t>
    </w:r>
    <w:proofErr w:type="spellEnd"/>
    <w:r>
      <w:rPr>
        <w:rFonts w:ascii="Arial" w:hAnsi="Arial" w:cs="Arial"/>
        <w:lang w:val="fr-FR"/>
      </w:rPr>
      <w:t xml:space="preserve">        </w:t>
    </w:r>
    <w:r w:rsidR="00F34ED6">
      <w:rPr>
        <w:rFonts w:ascii="Arial" w:hAnsi="Arial" w:cs="Arial"/>
        <w:lang w:val="fr-FR"/>
      </w:rPr>
      <w:t xml:space="preserve"> </w:t>
    </w:r>
    <w:r w:rsidR="00F34ED6">
      <w:rPr>
        <w:rFonts w:ascii="Arial" w:hAnsi="Arial" w:cs="Arial"/>
        <w:lang w:val="fr-FR"/>
      </w:rPr>
      <w:tab/>
    </w:r>
    <w:r w:rsidR="00F34ED6">
      <w:rPr>
        <w:rFonts w:ascii="Arial" w:hAnsi="Arial" w:cs="Arial"/>
        <w:lang w:val="fr-FR"/>
      </w:rPr>
      <w:tab/>
    </w:r>
    <w:r w:rsidR="004D3251">
      <w:rPr>
        <w:rFonts w:ascii="Arial" w:hAnsi="Arial" w:cs="Arial"/>
        <w:lang w:val="fr-FR"/>
      </w:rPr>
      <w:t xml:space="preserve">SOP </w:t>
    </w:r>
    <w:proofErr w:type="spellStart"/>
    <w:r w:rsidR="000760B1">
      <w:rPr>
        <w:rFonts w:ascii="Arial" w:hAnsi="Arial" w:cs="Arial"/>
        <w:lang w:val="fr-FR"/>
      </w:rPr>
      <w:t>FM</w:t>
    </w:r>
    <w:r w:rsidR="00DE68B4">
      <w:rPr>
        <w:rFonts w:ascii="Arial" w:hAnsi="Arial" w:cs="Arial"/>
        <w:lang w:val="fr-FR"/>
      </w:rPr>
      <w:t>-</w:t>
    </w:r>
    <w:r w:rsidR="00F34ED6">
      <w:rPr>
        <w:rFonts w:ascii="Arial" w:hAnsi="Arial" w:cs="Arial"/>
        <w:lang w:val="fr-FR"/>
      </w:rPr>
      <w:t>xx.xx</w:t>
    </w:r>
    <w:proofErr w:type="spellEnd"/>
  </w:p>
  <w:p w14:paraId="0F51E78B"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38717F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B340A8C"/>
    <w:multiLevelType w:val="hybridMultilevel"/>
    <w:tmpl w:val="71207266"/>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4D5D1D"/>
    <w:multiLevelType w:val="hybridMultilevel"/>
    <w:tmpl w:val="BF0E09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51496A"/>
    <w:multiLevelType w:val="hybridMultilevel"/>
    <w:tmpl w:val="90EADB34"/>
    <w:lvl w:ilvl="0" w:tplc="8F2867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1D6F32"/>
    <w:multiLevelType w:val="hybridMultilevel"/>
    <w:tmpl w:val="61F8E3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4"/>
  </w:num>
  <w:num w:numId="3">
    <w:abstractNumId w:val="1"/>
  </w:num>
  <w:num w:numId="4">
    <w:abstractNumId w:val="16"/>
  </w:num>
  <w:num w:numId="5">
    <w:abstractNumId w:val="5"/>
  </w:num>
  <w:num w:numId="6">
    <w:abstractNumId w:val="0"/>
  </w:num>
  <w:num w:numId="7">
    <w:abstractNumId w:val="13"/>
  </w:num>
  <w:num w:numId="8">
    <w:abstractNumId w:val="10"/>
  </w:num>
  <w:num w:numId="9">
    <w:abstractNumId w:val="6"/>
  </w:num>
  <w:num w:numId="10">
    <w:abstractNumId w:val="15"/>
  </w:num>
  <w:num w:numId="11">
    <w:abstractNumId w:val="12"/>
  </w:num>
  <w:num w:numId="12">
    <w:abstractNumId w:val="9"/>
  </w:num>
  <w:num w:numId="13">
    <w:abstractNumId w:val="4"/>
  </w:num>
  <w:num w:numId="14">
    <w:abstractNumId w:val="3"/>
  </w:num>
  <w:num w:numId="15">
    <w:abstractNumId w:val="1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A6"/>
    <w:rsid w:val="00016BD5"/>
    <w:rsid w:val="00053F8C"/>
    <w:rsid w:val="000760B1"/>
    <w:rsid w:val="0009458F"/>
    <w:rsid w:val="000E4B42"/>
    <w:rsid w:val="000E688A"/>
    <w:rsid w:val="00114EF1"/>
    <w:rsid w:val="001255E3"/>
    <w:rsid w:val="00144804"/>
    <w:rsid w:val="00153E59"/>
    <w:rsid w:val="001711FE"/>
    <w:rsid w:val="001B723F"/>
    <w:rsid w:val="001D5458"/>
    <w:rsid w:val="002B30E9"/>
    <w:rsid w:val="002C1FD8"/>
    <w:rsid w:val="00334D8D"/>
    <w:rsid w:val="00337326"/>
    <w:rsid w:val="003620C2"/>
    <w:rsid w:val="003A71A1"/>
    <w:rsid w:val="003B27D9"/>
    <w:rsid w:val="003D0548"/>
    <w:rsid w:val="00406252"/>
    <w:rsid w:val="00466577"/>
    <w:rsid w:val="004820BF"/>
    <w:rsid w:val="004D3251"/>
    <w:rsid w:val="004E0637"/>
    <w:rsid w:val="00521A3B"/>
    <w:rsid w:val="00537322"/>
    <w:rsid w:val="0054263F"/>
    <w:rsid w:val="005B5F73"/>
    <w:rsid w:val="005E5B15"/>
    <w:rsid w:val="00610204"/>
    <w:rsid w:val="0061337B"/>
    <w:rsid w:val="0062047B"/>
    <w:rsid w:val="00621478"/>
    <w:rsid w:val="00623AE6"/>
    <w:rsid w:val="00626A22"/>
    <w:rsid w:val="00673EF0"/>
    <w:rsid w:val="0069631F"/>
    <w:rsid w:val="006B7873"/>
    <w:rsid w:val="006C43BC"/>
    <w:rsid w:val="00704056"/>
    <w:rsid w:val="00753235"/>
    <w:rsid w:val="00774589"/>
    <w:rsid w:val="00775FB7"/>
    <w:rsid w:val="007A3D6B"/>
    <w:rsid w:val="007C3CE1"/>
    <w:rsid w:val="007F2A3F"/>
    <w:rsid w:val="00804BDC"/>
    <w:rsid w:val="00856DB9"/>
    <w:rsid w:val="008C752B"/>
    <w:rsid w:val="008C7F01"/>
    <w:rsid w:val="00910F32"/>
    <w:rsid w:val="00927A1E"/>
    <w:rsid w:val="009869B2"/>
    <w:rsid w:val="00995492"/>
    <w:rsid w:val="00996C7B"/>
    <w:rsid w:val="009A444A"/>
    <w:rsid w:val="009C382C"/>
    <w:rsid w:val="009D3809"/>
    <w:rsid w:val="009E11F5"/>
    <w:rsid w:val="009F0A64"/>
    <w:rsid w:val="009F3999"/>
    <w:rsid w:val="00A865CD"/>
    <w:rsid w:val="00AE4176"/>
    <w:rsid w:val="00B17882"/>
    <w:rsid w:val="00BA0B51"/>
    <w:rsid w:val="00BD40D9"/>
    <w:rsid w:val="00C42E3F"/>
    <w:rsid w:val="00C47C25"/>
    <w:rsid w:val="00C8007C"/>
    <w:rsid w:val="00CA17E4"/>
    <w:rsid w:val="00CB1A01"/>
    <w:rsid w:val="00CD249F"/>
    <w:rsid w:val="00DA2AFD"/>
    <w:rsid w:val="00DE68B4"/>
    <w:rsid w:val="00E4521A"/>
    <w:rsid w:val="00F151BB"/>
    <w:rsid w:val="00F24ED4"/>
    <w:rsid w:val="00F334C2"/>
    <w:rsid w:val="00F34ED6"/>
    <w:rsid w:val="00F44AA6"/>
    <w:rsid w:val="00F50A9E"/>
    <w:rsid w:val="00FB17A4"/>
    <w:rsid w:val="00FC486E"/>
    <w:rsid w:val="00FC7FF4"/>
    <w:rsid w:val="00FD7581"/>
    <w:rsid w:val="00FE6312"/>
    <w:rsid w:val="00FF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51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character" w:styleId="Hyperlink">
    <w:name w:val="Hyperlink"/>
    <w:basedOn w:val="DefaultParagraphFont"/>
    <w:uiPriority w:val="99"/>
    <w:unhideWhenUsed/>
    <w:rsid w:val="006B7873"/>
    <w:rPr>
      <w:color w:val="0000FF" w:themeColor="hyperlink"/>
      <w:u w:val="single"/>
    </w:rPr>
  </w:style>
  <w:style w:type="character" w:styleId="FollowedHyperlink">
    <w:name w:val="FollowedHyperlink"/>
    <w:basedOn w:val="DefaultParagraphFont"/>
    <w:uiPriority w:val="99"/>
    <w:semiHidden/>
    <w:unhideWhenUsed/>
    <w:rsid w:val="00CA17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character" w:styleId="Hyperlink">
    <w:name w:val="Hyperlink"/>
    <w:basedOn w:val="DefaultParagraphFont"/>
    <w:uiPriority w:val="99"/>
    <w:unhideWhenUsed/>
    <w:rsid w:val="006B7873"/>
    <w:rPr>
      <w:color w:val="0000FF" w:themeColor="hyperlink"/>
      <w:u w:val="single"/>
    </w:rPr>
  </w:style>
  <w:style w:type="character" w:styleId="FollowedHyperlink">
    <w:name w:val="FollowedHyperlink"/>
    <w:basedOn w:val="DefaultParagraphFont"/>
    <w:uiPriority w:val="99"/>
    <w:semiHidden/>
    <w:unhideWhenUsed/>
    <w:rsid w:val="00CA17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p@uab.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ab.edu/o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financialaffairs.uab.edu/img.asp?dl=1&amp;id=3379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FD14C-283F-4B33-847F-B9FBA8B204BE}">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E82B6A95-ECC6-430B-A677-5E6174A5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1C8CF-F92C-4585-98EF-BA7FF8833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11538</Characters>
  <Application>Microsoft Office Word</Application>
  <DocSecurity>4</DocSecurity>
  <Lines>887</Lines>
  <Paragraphs>454</Paragraphs>
  <ScaleCrop>false</ScaleCrop>
  <HeadingPairs>
    <vt:vector size="2" baseType="variant">
      <vt:variant>
        <vt:lpstr>Title</vt:lpstr>
      </vt:variant>
      <vt:variant>
        <vt:i4>1</vt:i4>
      </vt:variant>
    </vt:vector>
  </HeadingPairs>
  <TitlesOfParts>
    <vt:vector size="1" baseType="lpstr">
      <vt:lpstr>SOP FM Budget and Contract Process MC 11.3.14</vt:lpstr>
    </vt:vector>
  </TitlesOfParts>
  <Company>UAB</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FM Budget and Contract Process MC 11.3.14</dc:title>
  <dc:creator>idale</dc:creator>
  <cp:lastModifiedBy>Price,  Wendy</cp:lastModifiedBy>
  <cp:revision>2</cp:revision>
  <cp:lastPrinted>2014-09-17T00:52:00Z</cp:lastPrinted>
  <dcterms:created xsi:type="dcterms:W3CDTF">2015-09-16T20:42:00Z</dcterms:created>
  <dcterms:modified xsi:type="dcterms:W3CDTF">2015-09-16T20:42:00Z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