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984D1" w14:textId="77777777" w:rsidR="002016E0" w:rsidRDefault="002016E0" w:rsidP="00172C95">
      <w:pPr>
        <w:jc w:val="center"/>
        <w:rPr>
          <w:rFonts w:ascii="Times New Roman" w:hAnsi="Times New Roman" w:cs="Times New Roman"/>
          <w:b/>
          <w:sz w:val="24"/>
          <w:szCs w:val="24"/>
        </w:rPr>
      </w:pPr>
    </w:p>
    <w:p w14:paraId="65F4F667" w14:textId="77777777" w:rsidR="002016E0" w:rsidRDefault="002016E0" w:rsidP="00172C95">
      <w:pPr>
        <w:jc w:val="center"/>
        <w:rPr>
          <w:rFonts w:ascii="Times New Roman" w:hAnsi="Times New Roman" w:cs="Times New Roman"/>
          <w:b/>
          <w:sz w:val="24"/>
          <w:szCs w:val="24"/>
        </w:rPr>
      </w:pPr>
    </w:p>
    <w:p w14:paraId="1C03342A" w14:textId="77777777" w:rsidR="002016E0" w:rsidRDefault="002016E0" w:rsidP="00172C95">
      <w:pPr>
        <w:jc w:val="center"/>
        <w:rPr>
          <w:rFonts w:ascii="Times New Roman" w:hAnsi="Times New Roman" w:cs="Times New Roman"/>
          <w:b/>
          <w:sz w:val="24"/>
          <w:szCs w:val="24"/>
        </w:rPr>
      </w:pPr>
    </w:p>
    <w:p w14:paraId="72EE8419" w14:textId="019DC109" w:rsidR="00172C95" w:rsidRPr="00255246" w:rsidRDefault="00172C95" w:rsidP="00172C95">
      <w:pPr>
        <w:jc w:val="center"/>
        <w:rPr>
          <w:rFonts w:ascii="Times New Roman" w:hAnsi="Times New Roman" w:cs="Times New Roman"/>
          <w:b/>
          <w:sz w:val="28"/>
          <w:szCs w:val="28"/>
        </w:rPr>
      </w:pPr>
      <w:r w:rsidRPr="00255246">
        <w:rPr>
          <w:rFonts w:ascii="Times New Roman" w:hAnsi="Times New Roman" w:cs="Times New Roman"/>
          <w:b/>
          <w:sz w:val="28"/>
          <w:szCs w:val="28"/>
        </w:rPr>
        <w:t>University of Alabama at Birmingham</w:t>
      </w:r>
    </w:p>
    <w:p w14:paraId="434EA832" w14:textId="77777777" w:rsidR="00172C95" w:rsidRPr="00255246" w:rsidRDefault="00172C95" w:rsidP="00172C95">
      <w:pPr>
        <w:jc w:val="center"/>
        <w:rPr>
          <w:rFonts w:ascii="Times New Roman" w:hAnsi="Times New Roman" w:cs="Times New Roman"/>
          <w:sz w:val="28"/>
          <w:szCs w:val="28"/>
        </w:rPr>
      </w:pPr>
      <w:r w:rsidRPr="00255246">
        <w:rPr>
          <w:rFonts w:ascii="Times New Roman" w:hAnsi="Times New Roman" w:cs="Times New Roman"/>
          <w:sz w:val="28"/>
          <w:szCs w:val="28"/>
        </w:rPr>
        <w:t>School of Education</w:t>
      </w:r>
    </w:p>
    <w:p w14:paraId="3B975C68" w14:textId="77777777" w:rsidR="00172C95" w:rsidRPr="00255246" w:rsidRDefault="00172C95" w:rsidP="00172C95">
      <w:pPr>
        <w:jc w:val="center"/>
        <w:rPr>
          <w:rFonts w:ascii="Times New Roman" w:hAnsi="Times New Roman" w:cs="Times New Roman"/>
          <w:i/>
          <w:sz w:val="28"/>
          <w:szCs w:val="28"/>
        </w:rPr>
      </w:pPr>
      <w:r w:rsidRPr="00255246">
        <w:rPr>
          <w:rFonts w:ascii="Times New Roman" w:hAnsi="Times New Roman" w:cs="Times New Roman"/>
          <w:i/>
          <w:sz w:val="28"/>
          <w:szCs w:val="28"/>
        </w:rPr>
        <w:t>Department of Human Studies</w:t>
      </w:r>
    </w:p>
    <w:p w14:paraId="38C0DE3E" w14:textId="77777777" w:rsidR="00172C95" w:rsidRPr="00255246" w:rsidRDefault="00172C95" w:rsidP="00172C95">
      <w:pPr>
        <w:jc w:val="center"/>
        <w:rPr>
          <w:rFonts w:ascii="Times New Roman" w:hAnsi="Times New Roman" w:cs="Times New Roman"/>
          <w:sz w:val="28"/>
          <w:szCs w:val="28"/>
        </w:rPr>
      </w:pPr>
      <w:r w:rsidRPr="00255246">
        <w:rPr>
          <w:rFonts w:ascii="Times New Roman" w:hAnsi="Times New Roman" w:cs="Times New Roman"/>
          <w:sz w:val="28"/>
          <w:szCs w:val="28"/>
        </w:rPr>
        <w:t>Counseling Program</w:t>
      </w:r>
    </w:p>
    <w:p w14:paraId="0901B4CE" w14:textId="79CD883F" w:rsidR="00172C95" w:rsidRPr="00255246" w:rsidRDefault="00172C95" w:rsidP="002016E0">
      <w:pPr>
        <w:jc w:val="center"/>
        <w:rPr>
          <w:rFonts w:ascii="Times New Roman" w:hAnsi="Times New Roman" w:cs="Times New Roman"/>
          <w:sz w:val="28"/>
          <w:szCs w:val="28"/>
        </w:rPr>
      </w:pPr>
      <w:r w:rsidRPr="00255246">
        <w:rPr>
          <w:rFonts w:ascii="Times New Roman" w:hAnsi="Times New Roman" w:cs="Times New Roman"/>
          <w:sz w:val="28"/>
          <w:szCs w:val="28"/>
        </w:rPr>
        <w:t>2019-2020 State of the Program Repor</w:t>
      </w:r>
      <w:r w:rsidR="002016E0" w:rsidRPr="00255246">
        <w:rPr>
          <w:rFonts w:ascii="Times New Roman" w:hAnsi="Times New Roman" w:cs="Times New Roman"/>
          <w:sz w:val="28"/>
          <w:szCs w:val="28"/>
        </w:rPr>
        <w:t>t</w:t>
      </w:r>
    </w:p>
    <w:p w14:paraId="2182066C" w14:textId="77777777" w:rsidR="00172C95" w:rsidRPr="00A42A15" w:rsidRDefault="00172C95" w:rsidP="00172C95">
      <w:pPr>
        <w:rPr>
          <w:rFonts w:ascii="Times New Roman" w:hAnsi="Times New Roman" w:cs="Times New Roman"/>
          <w:sz w:val="24"/>
          <w:szCs w:val="24"/>
        </w:rPr>
      </w:pPr>
    </w:p>
    <w:p w14:paraId="143D30EF" w14:textId="77777777" w:rsidR="00172C95" w:rsidRPr="00A42A15" w:rsidRDefault="00172C95" w:rsidP="00172C95">
      <w:pPr>
        <w:jc w:val="center"/>
        <w:rPr>
          <w:rFonts w:ascii="Times New Roman" w:hAnsi="Times New Roman" w:cs="Times New Roman"/>
          <w:sz w:val="24"/>
          <w:szCs w:val="24"/>
        </w:rPr>
      </w:pPr>
    </w:p>
    <w:p w14:paraId="0A8AF02F" w14:textId="77777777" w:rsidR="00172C95" w:rsidRPr="00A42A15" w:rsidRDefault="00172C95" w:rsidP="00172C95">
      <w:pPr>
        <w:spacing w:after="0" w:line="240" w:lineRule="auto"/>
        <w:jc w:val="center"/>
        <w:rPr>
          <w:rFonts w:ascii="Times New Roman" w:hAnsi="Times New Roman" w:cs="Times New Roman"/>
          <w:sz w:val="24"/>
          <w:szCs w:val="24"/>
        </w:rPr>
      </w:pPr>
      <w:r w:rsidRPr="00A42A15">
        <w:rPr>
          <w:rFonts w:ascii="Times New Roman" w:hAnsi="Times New Roman" w:cs="Times New Roman"/>
          <w:b/>
          <w:sz w:val="24"/>
          <w:szCs w:val="24"/>
        </w:rPr>
        <w:t>Affiliated Faculty</w:t>
      </w:r>
      <w:r w:rsidRPr="00A42A15">
        <w:rPr>
          <w:rFonts w:ascii="Times New Roman" w:hAnsi="Times New Roman" w:cs="Times New Roman"/>
          <w:sz w:val="24"/>
          <w:szCs w:val="24"/>
        </w:rPr>
        <w:t xml:space="preserve"> </w:t>
      </w:r>
    </w:p>
    <w:p w14:paraId="5BD1EDF3" w14:textId="242BE174" w:rsidR="00172C95" w:rsidRPr="00A42A15" w:rsidRDefault="00172C95" w:rsidP="006563BF">
      <w:pPr>
        <w:spacing w:after="0" w:line="240" w:lineRule="auto"/>
        <w:ind w:left="360"/>
        <w:rPr>
          <w:rFonts w:ascii="Times New Roman" w:hAnsi="Times New Roman" w:cs="Times New Roman"/>
          <w:i/>
          <w:sz w:val="24"/>
          <w:szCs w:val="24"/>
        </w:rPr>
      </w:pPr>
      <w:r w:rsidRPr="00A42A15">
        <w:rPr>
          <w:rFonts w:ascii="Times New Roman" w:hAnsi="Times New Roman" w:cs="Times New Roman"/>
          <w:sz w:val="24"/>
          <w:szCs w:val="24"/>
        </w:rPr>
        <w:t xml:space="preserve">Shannon McCarthy, Ph.D., </w:t>
      </w:r>
      <w:r w:rsidRPr="00A42A15">
        <w:rPr>
          <w:rFonts w:ascii="Times New Roman" w:hAnsi="Times New Roman" w:cs="Times New Roman"/>
          <w:i/>
          <w:sz w:val="24"/>
          <w:szCs w:val="24"/>
        </w:rPr>
        <w:t>Assistant Professor, Interim</w:t>
      </w:r>
      <w:r w:rsidR="006563BF">
        <w:rPr>
          <w:rFonts w:ascii="Times New Roman" w:hAnsi="Times New Roman" w:cs="Times New Roman"/>
          <w:i/>
          <w:sz w:val="24"/>
          <w:szCs w:val="24"/>
        </w:rPr>
        <w:t xml:space="preserve"> Assistant</w:t>
      </w:r>
      <w:r w:rsidRPr="00A42A15">
        <w:rPr>
          <w:rFonts w:ascii="Times New Roman" w:hAnsi="Times New Roman" w:cs="Times New Roman"/>
          <w:i/>
          <w:sz w:val="24"/>
          <w:szCs w:val="24"/>
        </w:rPr>
        <w:t xml:space="preserve"> </w:t>
      </w:r>
      <w:r w:rsidR="007C0B1C">
        <w:rPr>
          <w:rFonts w:ascii="Times New Roman" w:hAnsi="Times New Roman" w:cs="Times New Roman"/>
          <w:i/>
          <w:sz w:val="24"/>
          <w:szCs w:val="24"/>
        </w:rPr>
        <w:t>Director of the UAB Community Counseling Clinic</w:t>
      </w:r>
      <w:r w:rsidRPr="00A42A15">
        <w:rPr>
          <w:rFonts w:ascii="Times New Roman" w:hAnsi="Times New Roman" w:cs="Times New Roman"/>
          <w:i/>
          <w:sz w:val="24"/>
          <w:szCs w:val="24"/>
        </w:rPr>
        <w:t>, CACREP</w:t>
      </w:r>
      <w:r w:rsidR="006563BF">
        <w:rPr>
          <w:rFonts w:ascii="Times New Roman" w:hAnsi="Times New Roman" w:cs="Times New Roman"/>
          <w:i/>
          <w:sz w:val="24"/>
          <w:szCs w:val="24"/>
        </w:rPr>
        <w:t xml:space="preserve"> </w:t>
      </w:r>
      <w:r w:rsidRPr="00A42A15">
        <w:rPr>
          <w:rFonts w:ascii="Times New Roman" w:hAnsi="Times New Roman" w:cs="Times New Roman"/>
          <w:i/>
          <w:sz w:val="24"/>
          <w:szCs w:val="24"/>
        </w:rPr>
        <w:t>Liaison</w:t>
      </w:r>
    </w:p>
    <w:p w14:paraId="628AF813" w14:textId="03B819AD" w:rsidR="00E6216C" w:rsidRDefault="00E6216C" w:rsidP="00E6216C">
      <w:pPr>
        <w:spacing w:after="0" w:line="240" w:lineRule="auto"/>
        <w:ind w:left="360" w:hanging="360"/>
        <w:rPr>
          <w:rFonts w:ascii="Times New Roman" w:hAnsi="Times New Roman" w:cs="Times New Roman"/>
          <w:i/>
          <w:sz w:val="24"/>
          <w:szCs w:val="24"/>
        </w:rPr>
      </w:pPr>
      <w:r>
        <w:rPr>
          <w:rFonts w:ascii="Times New Roman" w:hAnsi="Times New Roman" w:cs="Times New Roman"/>
          <w:sz w:val="24"/>
          <w:szCs w:val="24"/>
        </w:rPr>
        <w:t xml:space="preserve">      </w:t>
      </w:r>
      <w:r w:rsidR="00172C95" w:rsidRPr="00A42A15">
        <w:rPr>
          <w:rFonts w:ascii="Times New Roman" w:hAnsi="Times New Roman" w:cs="Times New Roman"/>
          <w:sz w:val="24"/>
          <w:szCs w:val="24"/>
        </w:rPr>
        <w:t>Dayna Watson, Ph.D.,</w:t>
      </w:r>
      <w:r w:rsidR="00172C95" w:rsidRPr="00A42A15">
        <w:rPr>
          <w:rFonts w:ascii="Times New Roman" w:hAnsi="Times New Roman" w:cs="Times New Roman"/>
          <w:i/>
          <w:sz w:val="24"/>
          <w:szCs w:val="24"/>
        </w:rPr>
        <w:t xml:space="preserve"> Assistant Professor, Program Coordinator, Clinical Placement </w:t>
      </w:r>
      <w:r>
        <w:rPr>
          <w:rFonts w:ascii="Times New Roman" w:hAnsi="Times New Roman" w:cs="Times New Roman"/>
          <w:i/>
          <w:sz w:val="24"/>
          <w:szCs w:val="24"/>
        </w:rPr>
        <w:t xml:space="preserve">     </w:t>
      </w:r>
      <w:r w:rsidR="00172C95" w:rsidRPr="00A42A15">
        <w:rPr>
          <w:rFonts w:ascii="Times New Roman" w:hAnsi="Times New Roman" w:cs="Times New Roman"/>
          <w:i/>
          <w:sz w:val="24"/>
          <w:szCs w:val="24"/>
        </w:rPr>
        <w:t>Coordinator</w:t>
      </w:r>
    </w:p>
    <w:p w14:paraId="36C64C70" w14:textId="2CBDDBF6" w:rsidR="00172C95" w:rsidRPr="00E6216C" w:rsidRDefault="00E6216C" w:rsidP="00E6216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424B09" w:rsidRPr="00A42A15">
        <w:rPr>
          <w:rFonts w:ascii="Times New Roman" w:hAnsi="Times New Roman" w:cs="Times New Roman"/>
          <w:iCs/>
          <w:sz w:val="24"/>
          <w:szCs w:val="24"/>
        </w:rPr>
        <w:t>Dwayne White, Ph.D.</w:t>
      </w:r>
      <w:r>
        <w:rPr>
          <w:rFonts w:ascii="Times New Roman" w:hAnsi="Times New Roman" w:cs="Times New Roman"/>
          <w:iCs/>
          <w:sz w:val="24"/>
          <w:szCs w:val="24"/>
        </w:rPr>
        <w:t xml:space="preserve">, </w:t>
      </w:r>
      <w:r w:rsidRPr="00E6216C">
        <w:rPr>
          <w:rFonts w:ascii="Times New Roman" w:hAnsi="Times New Roman" w:cs="Times New Roman"/>
          <w:i/>
          <w:sz w:val="24"/>
          <w:szCs w:val="24"/>
        </w:rPr>
        <w:t>Assistant Professor</w:t>
      </w:r>
    </w:p>
    <w:p w14:paraId="79E03185" w14:textId="4274DE15" w:rsidR="00424B09" w:rsidRPr="00A42A15" w:rsidRDefault="00424B09" w:rsidP="007C0B1C">
      <w:pPr>
        <w:spacing w:after="0" w:line="240" w:lineRule="auto"/>
        <w:ind w:left="360" w:hanging="360"/>
        <w:rPr>
          <w:rFonts w:ascii="Times New Roman" w:hAnsi="Times New Roman" w:cs="Times New Roman"/>
          <w:b/>
          <w:sz w:val="24"/>
          <w:szCs w:val="24"/>
        </w:rPr>
      </w:pPr>
      <w:r w:rsidRPr="00A42A15">
        <w:rPr>
          <w:rFonts w:ascii="Times New Roman" w:hAnsi="Times New Roman" w:cs="Times New Roman"/>
          <w:iCs/>
          <w:sz w:val="24"/>
          <w:szCs w:val="24"/>
        </w:rPr>
        <w:t xml:space="preserve">      Yusen Zhai, Ph.D.</w:t>
      </w:r>
      <w:r w:rsidR="00E6216C">
        <w:rPr>
          <w:rFonts w:ascii="Times New Roman" w:hAnsi="Times New Roman" w:cs="Times New Roman"/>
          <w:iCs/>
          <w:sz w:val="24"/>
          <w:szCs w:val="24"/>
        </w:rPr>
        <w:t xml:space="preserve">, </w:t>
      </w:r>
      <w:r w:rsidR="00E6216C" w:rsidRPr="006E21C5">
        <w:rPr>
          <w:rFonts w:ascii="Times New Roman" w:hAnsi="Times New Roman" w:cs="Times New Roman"/>
          <w:i/>
          <w:sz w:val="24"/>
          <w:szCs w:val="24"/>
        </w:rPr>
        <w:t>Assistant Professor</w:t>
      </w:r>
      <w:r w:rsidR="007C0B1C" w:rsidRPr="006E21C5">
        <w:rPr>
          <w:rFonts w:ascii="Times New Roman" w:hAnsi="Times New Roman" w:cs="Times New Roman"/>
          <w:i/>
          <w:sz w:val="24"/>
          <w:szCs w:val="24"/>
        </w:rPr>
        <w:t>,</w:t>
      </w:r>
      <w:r w:rsidR="007C0B1C">
        <w:rPr>
          <w:rFonts w:ascii="Times New Roman" w:hAnsi="Times New Roman" w:cs="Times New Roman"/>
          <w:iCs/>
          <w:sz w:val="24"/>
          <w:szCs w:val="24"/>
        </w:rPr>
        <w:t xml:space="preserve"> </w:t>
      </w:r>
      <w:r w:rsidR="0007030C">
        <w:rPr>
          <w:rFonts w:ascii="Times New Roman" w:hAnsi="Times New Roman" w:cs="Times New Roman"/>
          <w:i/>
          <w:sz w:val="24"/>
          <w:szCs w:val="24"/>
        </w:rPr>
        <w:t>D</w:t>
      </w:r>
      <w:r w:rsidR="0007030C" w:rsidRPr="0007030C">
        <w:rPr>
          <w:rFonts w:ascii="Times New Roman" w:hAnsi="Times New Roman" w:cs="Times New Roman"/>
          <w:i/>
          <w:sz w:val="24"/>
          <w:szCs w:val="24"/>
        </w:rPr>
        <w:t>irector of the</w:t>
      </w:r>
      <w:r w:rsidR="0007030C">
        <w:rPr>
          <w:rFonts w:ascii="Times New Roman" w:hAnsi="Times New Roman" w:cs="Times New Roman"/>
          <w:i/>
          <w:sz w:val="24"/>
          <w:szCs w:val="24"/>
        </w:rPr>
        <w:t xml:space="preserve"> UAB</w:t>
      </w:r>
      <w:r w:rsidR="0007030C" w:rsidRPr="0007030C">
        <w:rPr>
          <w:rFonts w:ascii="Times New Roman" w:hAnsi="Times New Roman" w:cs="Times New Roman"/>
          <w:i/>
          <w:sz w:val="24"/>
          <w:szCs w:val="24"/>
        </w:rPr>
        <w:t xml:space="preserve"> Community Counseling Clinic</w:t>
      </w:r>
    </w:p>
    <w:p w14:paraId="706F2B44" w14:textId="77777777" w:rsidR="00172C95" w:rsidRPr="00A42A15" w:rsidRDefault="00172C95" w:rsidP="00172C95">
      <w:pPr>
        <w:spacing w:after="0" w:line="240" w:lineRule="auto"/>
        <w:jc w:val="center"/>
        <w:rPr>
          <w:rFonts w:ascii="Times New Roman" w:hAnsi="Times New Roman" w:cs="Times New Roman"/>
          <w:b/>
          <w:sz w:val="24"/>
          <w:szCs w:val="24"/>
        </w:rPr>
      </w:pPr>
      <w:r w:rsidRPr="00A42A15">
        <w:rPr>
          <w:rFonts w:ascii="Times New Roman" w:hAnsi="Times New Roman" w:cs="Times New Roman"/>
          <w:b/>
          <w:sz w:val="24"/>
          <w:szCs w:val="24"/>
        </w:rPr>
        <w:br w:type="page"/>
      </w:r>
      <w:r w:rsidRPr="00A42A15">
        <w:rPr>
          <w:rFonts w:ascii="Times New Roman" w:hAnsi="Times New Roman" w:cs="Times New Roman"/>
          <w:b/>
          <w:sz w:val="24"/>
          <w:szCs w:val="24"/>
        </w:rPr>
        <w:lastRenderedPageBreak/>
        <w:t>THIS PAGE IS INTENTIONALLY LEFT BLANK</w:t>
      </w:r>
      <w:r w:rsidRPr="00A42A15">
        <w:rPr>
          <w:rFonts w:ascii="Times New Roman" w:hAnsi="Times New Roman" w:cs="Times New Roman"/>
          <w:b/>
          <w:sz w:val="24"/>
          <w:szCs w:val="24"/>
        </w:rPr>
        <w:br w:type="page"/>
      </w:r>
      <w:r w:rsidRPr="00A42A15">
        <w:rPr>
          <w:rFonts w:ascii="Times New Roman" w:hAnsi="Times New Roman" w:cs="Times New Roman"/>
          <w:b/>
          <w:sz w:val="24"/>
          <w:szCs w:val="24"/>
        </w:rPr>
        <w:lastRenderedPageBreak/>
        <w:t>Executive Summary</w:t>
      </w:r>
    </w:p>
    <w:p w14:paraId="73DBD3F3" w14:textId="77777777" w:rsidR="00172C95" w:rsidRPr="00A42A15" w:rsidRDefault="00172C95" w:rsidP="00172C95">
      <w:pPr>
        <w:spacing w:after="0" w:line="240" w:lineRule="auto"/>
        <w:rPr>
          <w:rFonts w:ascii="Times New Roman" w:hAnsi="Times New Roman" w:cs="Times New Roman"/>
          <w:i/>
          <w:sz w:val="24"/>
          <w:szCs w:val="24"/>
        </w:rPr>
      </w:pPr>
      <w:r w:rsidRPr="00A42A15">
        <w:rPr>
          <w:rFonts w:ascii="Times New Roman" w:hAnsi="Times New Roman" w:cs="Times New Roman"/>
          <w:b/>
          <w:sz w:val="24"/>
          <w:szCs w:val="24"/>
        </w:rPr>
        <w:t>Introduction</w:t>
      </w:r>
    </w:p>
    <w:p w14:paraId="535F020B" w14:textId="77777777" w:rsidR="00172C95" w:rsidRPr="00A42A15" w:rsidRDefault="00172C95" w:rsidP="00172C95">
      <w:pPr>
        <w:spacing w:after="0" w:line="240" w:lineRule="auto"/>
        <w:rPr>
          <w:rFonts w:ascii="Times New Roman" w:hAnsi="Times New Roman" w:cs="Times New Roman"/>
          <w:sz w:val="24"/>
          <w:szCs w:val="24"/>
        </w:rPr>
      </w:pPr>
    </w:p>
    <w:p w14:paraId="7EDE4811" w14:textId="5158A32B" w:rsidR="00172C95" w:rsidRPr="00A42A15" w:rsidRDefault="00172C95" w:rsidP="00172C95">
      <w:pPr>
        <w:spacing w:after="0" w:line="240" w:lineRule="auto"/>
        <w:rPr>
          <w:rFonts w:ascii="Times New Roman" w:hAnsi="Times New Roman" w:cs="Times New Roman"/>
          <w:sz w:val="24"/>
          <w:szCs w:val="24"/>
        </w:rPr>
      </w:pPr>
      <w:r w:rsidRPr="00A42A15">
        <w:rPr>
          <w:rFonts w:ascii="Times New Roman" w:hAnsi="Times New Roman" w:cs="Times New Roman"/>
          <w:sz w:val="24"/>
          <w:szCs w:val="24"/>
        </w:rPr>
        <w:t>The UAB Counseling Program (CP) relies on data from various sources to inform programmatic decisions. These data can be divided into two categories including: enrollment data and learning outcomes. Enrollment data is used to document trends in the characteristics of applicants, current students, and alumni. Learning outcomes are used to assess whether students are indeed acquiring and demonstrating the knowledge, skills</w:t>
      </w:r>
      <w:r w:rsidR="00D74289">
        <w:rPr>
          <w:rFonts w:ascii="Times New Roman" w:hAnsi="Times New Roman" w:cs="Times New Roman"/>
          <w:sz w:val="24"/>
          <w:szCs w:val="24"/>
        </w:rPr>
        <w:t>,</w:t>
      </w:r>
      <w:r w:rsidRPr="00A42A15">
        <w:rPr>
          <w:rFonts w:ascii="Times New Roman" w:hAnsi="Times New Roman" w:cs="Times New Roman"/>
          <w:sz w:val="24"/>
          <w:szCs w:val="24"/>
        </w:rPr>
        <w:t xml:space="preserve"> and abilities targeted by the current curriculum. Interested readers may review a detailed outline regarding the CP’s assessment procedures documented in the UAB Program Assessment and Evaluation Manual. The purpose of the current report is to summarize program data in an effort to guide decision making and program development.</w:t>
      </w:r>
    </w:p>
    <w:p w14:paraId="307FBFD8" w14:textId="77777777" w:rsidR="00172C95" w:rsidRPr="00A42A15" w:rsidRDefault="00172C95" w:rsidP="00172C95">
      <w:pPr>
        <w:spacing w:after="0" w:line="240" w:lineRule="auto"/>
        <w:rPr>
          <w:rFonts w:ascii="Times New Roman" w:hAnsi="Times New Roman" w:cs="Times New Roman"/>
          <w:i/>
          <w:sz w:val="24"/>
          <w:szCs w:val="24"/>
        </w:rPr>
      </w:pPr>
    </w:p>
    <w:p w14:paraId="2FEF8B20" w14:textId="5A8E3AF0" w:rsidR="00172C95" w:rsidRDefault="00172C95" w:rsidP="00172C95">
      <w:pPr>
        <w:spacing w:after="0" w:line="240" w:lineRule="auto"/>
        <w:rPr>
          <w:rFonts w:ascii="Times New Roman" w:hAnsi="Times New Roman" w:cs="Times New Roman"/>
          <w:i/>
          <w:sz w:val="24"/>
          <w:szCs w:val="24"/>
        </w:rPr>
      </w:pPr>
      <w:r w:rsidRPr="00A42A15">
        <w:rPr>
          <w:rFonts w:ascii="Times New Roman" w:hAnsi="Times New Roman" w:cs="Times New Roman"/>
          <w:i/>
          <w:sz w:val="24"/>
          <w:szCs w:val="24"/>
        </w:rPr>
        <w:t>Enrollment Data</w:t>
      </w:r>
    </w:p>
    <w:p w14:paraId="1D77E594" w14:textId="77777777" w:rsidR="00D74289" w:rsidRPr="00A42A15" w:rsidRDefault="00D74289" w:rsidP="00172C95">
      <w:pPr>
        <w:spacing w:after="0" w:line="240" w:lineRule="auto"/>
        <w:rPr>
          <w:rFonts w:ascii="Times New Roman" w:hAnsi="Times New Roman" w:cs="Times New Roman"/>
          <w:i/>
          <w:sz w:val="24"/>
          <w:szCs w:val="24"/>
        </w:rPr>
      </w:pPr>
    </w:p>
    <w:p w14:paraId="13B9134F" w14:textId="4F5F7675" w:rsidR="00172C95" w:rsidRPr="00A42A15" w:rsidRDefault="00172C95" w:rsidP="00172C95">
      <w:pPr>
        <w:spacing w:after="0" w:line="240" w:lineRule="auto"/>
        <w:rPr>
          <w:rFonts w:ascii="Times New Roman" w:hAnsi="Times New Roman" w:cs="Times New Roman"/>
          <w:sz w:val="24"/>
          <w:szCs w:val="24"/>
        </w:rPr>
      </w:pPr>
      <w:r w:rsidRPr="00A42A15">
        <w:rPr>
          <w:rFonts w:ascii="Times New Roman" w:hAnsi="Times New Roman" w:cs="Times New Roman"/>
          <w:sz w:val="24"/>
          <w:szCs w:val="24"/>
        </w:rPr>
        <w:t>Enrollment data is collected via three data sources: Admission/Application Data, Enrollment or Headcount Data, and Specialty Track Data.</w:t>
      </w:r>
      <w:r w:rsidR="00CB135F" w:rsidRPr="00A42A15">
        <w:rPr>
          <w:rFonts w:ascii="Times New Roman" w:hAnsi="Times New Roman" w:cs="Times New Roman"/>
          <w:sz w:val="24"/>
          <w:szCs w:val="24"/>
        </w:rPr>
        <w:t xml:space="preserve"> This total may </w:t>
      </w:r>
      <w:r w:rsidR="002441F0" w:rsidRPr="00A42A15">
        <w:rPr>
          <w:rFonts w:ascii="Times New Roman" w:hAnsi="Times New Roman" w:cs="Times New Roman"/>
          <w:sz w:val="24"/>
          <w:szCs w:val="24"/>
        </w:rPr>
        <w:t>include certificate-only students.</w:t>
      </w:r>
    </w:p>
    <w:p w14:paraId="3E267885" w14:textId="77777777" w:rsidR="00172C95" w:rsidRPr="00A42A15" w:rsidRDefault="00172C95" w:rsidP="00172C95">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62"/>
        <w:gridCol w:w="1184"/>
      </w:tblGrid>
      <w:tr w:rsidR="00172C95" w:rsidRPr="00A42A15" w14:paraId="0C192B7F" w14:textId="77777777" w:rsidTr="00A809D9">
        <w:trPr>
          <w:jc w:val="center"/>
        </w:trPr>
        <w:tc>
          <w:tcPr>
            <w:tcW w:w="3146" w:type="dxa"/>
            <w:gridSpan w:val="2"/>
            <w:tcBorders>
              <w:bottom w:val="single" w:sz="4" w:space="0" w:color="auto"/>
            </w:tcBorders>
            <w:shd w:val="clear" w:color="auto" w:fill="auto"/>
            <w:vAlign w:val="center"/>
          </w:tcPr>
          <w:p w14:paraId="64EA5058" w14:textId="77777777" w:rsidR="00172C95" w:rsidRPr="00A42A15" w:rsidRDefault="00172C95" w:rsidP="00A809D9">
            <w:pPr>
              <w:spacing w:after="0" w:line="240" w:lineRule="auto"/>
              <w:jc w:val="center"/>
              <w:rPr>
                <w:rFonts w:ascii="Times New Roman" w:hAnsi="Times New Roman" w:cs="Times New Roman"/>
                <w:b/>
              </w:rPr>
            </w:pPr>
            <w:r w:rsidRPr="00A42A15">
              <w:rPr>
                <w:rFonts w:ascii="Times New Roman" w:hAnsi="Times New Roman" w:cs="Times New Roman"/>
                <w:b/>
              </w:rPr>
              <w:t>Enrollment Data</w:t>
            </w:r>
          </w:p>
        </w:tc>
      </w:tr>
      <w:tr w:rsidR="00172C95" w:rsidRPr="00A42A15" w14:paraId="32CB647F" w14:textId="77777777" w:rsidTr="00A809D9">
        <w:trPr>
          <w:jc w:val="center"/>
        </w:trPr>
        <w:tc>
          <w:tcPr>
            <w:tcW w:w="1962" w:type="dxa"/>
            <w:tcBorders>
              <w:bottom w:val="single" w:sz="4" w:space="0" w:color="auto"/>
            </w:tcBorders>
            <w:shd w:val="clear" w:color="auto" w:fill="000000"/>
            <w:vAlign w:val="center"/>
          </w:tcPr>
          <w:p w14:paraId="3CA64D5A" w14:textId="5E7F395B" w:rsidR="00172C95" w:rsidRPr="00A42A15" w:rsidRDefault="00172C95" w:rsidP="00A809D9">
            <w:pPr>
              <w:spacing w:after="0" w:line="240" w:lineRule="auto"/>
              <w:jc w:val="center"/>
              <w:rPr>
                <w:rFonts w:ascii="Times New Roman" w:hAnsi="Times New Roman" w:cs="Times New Roman"/>
                <w:b/>
              </w:rPr>
            </w:pPr>
            <w:r w:rsidRPr="00A42A15">
              <w:rPr>
                <w:rFonts w:ascii="Times New Roman" w:hAnsi="Times New Roman" w:cs="Times New Roman"/>
                <w:b/>
              </w:rPr>
              <w:t>Academic</w:t>
            </w:r>
          </w:p>
        </w:tc>
        <w:tc>
          <w:tcPr>
            <w:tcW w:w="1184" w:type="dxa"/>
            <w:shd w:val="clear" w:color="auto" w:fill="000000"/>
            <w:vAlign w:val="center"/>
          </w:tcPr>
          <w:p w14:paraId="52F24199" w14:textId="77777777" w:rsidR="00172C95" w:rsidRPr="00A42A15" w:rsidRDefault="00172C95" w:rsidP="00A809D9">
            <w:pPr>
              <w:spacing w:after="0" w:line="240" w:lineRule="auto"/>
              <w:jc w:val="center"/>
              <w:rPr>
                <w:rFonts w:ascii="Times New Roman" w:hAnsi="Times New Roman" w:cs="Times New Roman"/>
                <w:b/>
              </w:rPr>
            </w:pPr>
            <w:r w:rsidRPr="00A42A15">
              <w:rPr>
                <w:rFonts w:ascii="Times New Roman" w:hAnsi="Times New Roman" w:cs="Times New Roman"/>
                <w:b/>
              </w:rPr>
              <w:t>Count</w:t>
            </w:r>
          </w:p>
        </w:tc>
      </w:tr>
      <w:tr w:rsidR="00C47C60" w:rsidRPr="00A42A15" w14:paraId="21C67969" w14:textId="77777777" w:rsidTr="00A809D9">
        <w:trPr>
          <w:jc w:val="center"/>
        </w:trPr>
        <w:tc>
          <w:tcPr>
            <w:tcW w:w="1962" w:type="dxa"/>
            <w:shd w:val="clear" w:color="auto" w:fill="E0E0E0"/>
            <w:vAlign w:val="center"/>
          </w:tcPr>
          <w:p w14:paraId="3DB55824" w14:textId="271D1AFA" w:rsidR="00C47C60" w:rsidRPr="00A42A15" w:rsidRDefault="00C47C60" w:rsidP="00A809D9">
            <w:pPr>
              <w:spacing w:after="0" w:line="240" w:lineRule="auto"/>
              <w:rPr>
                <w:rFonts w:ascii="Times New Roman" w:hAnsi="Times New Roman" w:cs="Times New Roman"/>
                <w:b/>
              </w:rPr>
            </w:pPr>
            <w:bookmarkStart w:id="0" w:name="OLE_LINK1"/>
            <w:r w:rsidRPr="00A42A15">
              <w:rPr>
                <w:rFonts w:ascii="Times New Roman" w:hAnsi="Times New Roman" w:cs="Times New Roman"/>
                <w:b/>
              </w:rPr>
              <w:t>Fall 2015</w:t>
            </w:r>
          </w:p>
        </w:tc>
        <w:tc>
          <w:tcPr>
            <w:tcW w:w="1184" w:type="dxa"/>
            <w:vAlign w:val="center"/>
          </w:tcPr>
          <w:p w14:paraId="71032C46" w14:textId="098FBF25"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81</w:t>
            </w:r>
          </w:p>
        </w:tc>
      </w:tr>
      <w:tr w:rsidR="00C47C60" w:rsidRPr="00A42A15" w14:paraId="5CB53B28" w14:textId="77777777" w:rsidTr="00A809D9">
        <w:trPr>
          <w:jc w:val="center"/>
        </w:trPr>
        <w:tc>
          <w:tcPr>
            <w:tcW w:w="1962" w:type="dxa"/>
            <w:shd w:val="clear" w:color="auto" w:fill="E0E0E0"/>
            <w:vAlign w:val="center"/>
          </w:tcPr>
          <w:p w14:paraId="562C6DE9" w14:textId="46C25E9D"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Spring 2016</w:t>
            </w:r>
          </w:p>
        </w:tc>
        <w:tc>
          <w:tcPr>
            <w:tcW w:w="1184" w:type="dxa"/>
            <w:vAlign w:val="center"/>
          </w:tcPr>
          <w:p w14:paraId="01816967" w14:textId="0FF176AB"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87</w:t>
            </w:r>
          </w:p>
        </w:tc>
      </w:tr>
      <w:tr w:rsidR="00C47C60" w:rsidRPr="00A42A15" w14:paraId="14AC14D2" w14:textId="77777777" w:rsidTr="00A809D9">
        <w:trPr>
          <w:jc w:val="center"/>
        </w:trPr>
        <w:tc>
          <w:tcPr>
            <w:tcW w:w="1962" w:type="dxa"/>
            <w:shd w:val="clear" w:color="auto" w:fill="E0E0E0"/>
            <w:vAlign w:val="center"/>
          </w:tcPr>
          <w:p w14:paraId="2FAB43DA" w14:textId="7B82C756"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Summer 2016</w:t>
            </w:r>
          </w:p>
        </w:tc>
        <w:tc>
          <w:tcPr>
            <w:tcW w:w="1184" w:type="dxa"/>
            <w:vAlign w:val="center"/>
          </w:tcPr>
          <w:p w14:paraId="5856CABA" w14:textId="4A46A35E"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76</w:t>
            </w:r>
          </w:p>
        </w:tc>
      </w:tr>
      <w:tr w:rsidR="00C47C60" w:rsidRPr="00A42A15" w14:paraId="14433ACF" w14:textId="77777777" w:rsidTr="00A809D9">
        <w:trPr>
          <w:jc w:val="center"/>
        </w:trPr>
        <w:tc>
          <w:tcPr>
            <w:tcW w:w="1962" w:type="dxa"/>
            <w:shd w:val="clear" w:color="auto" w:fill="E0E0E0"/>
            <w:vAlign w:val="center"/>
          </w:tcPr>
          <w:p w14:paraId="28A76833" w14:textId="0A2293FD"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Fall 2016</w:t>
            </w:r>
          </w:p>
        </w:tc>
        <w:tc>
          <w:tcPr>
            <w:tcW w:w="1184" w:type="dxa"/>
            <w:vAlign w:val="center"/>
          </w:tcPr>
          <w:p w14:paraId="395530F0" w14:textId="28C0F868"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91</w:t>
            </w:r>
          </w:p>
        </w:tc>
      </w:tr>
      <w:tr w:rsidR="00C47C60" w:rsidRPr="00A42A15" w14:paraId="2151F80F" w14:textId="77777777" w:rsidTr="00A809D9">
        <w:trPr>
          <w:jc w:val="center"/>
        </w:trPr>
        <w:tc>
          <w:tcPr>
            <w:tcW w:w="1962" w:type="dxa"/>
            <w:shd w:val="clear" w:color="auto" w:fill="E0E0E0"/>
            <w:vAlign w:val="center"/>
          </w:tcPr>
          <w:p w14:paraId="7233E5F2" w14:textId="278E5E7A"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Spring 2017</w:t>
            </w:r>
          </w:p>
        </w:tc>
        <w:tc>
          <w:tcPr>
            <w:tcW w:w="1184" w:type="dxa"/>
            <w:vAlign w:val="center"/>
          </w:tcPr>
          <w:p w14:paraId="4C097172" w14:textId="5C2F9185"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98</w:t>
            </w:r>
          </w:p>
        </w:tc>
      </w:tr>
      <w:tr w:rsidR="00C47C60" w:rsidRPr="00A42A15" w14:paraId="46BB6584" w14:textId="77777777" w:rsidTr="00A809D9">
        <w:trPr>
          <w:jc w:val="center"/>
        </w:trPr>
        <w:tc>
          <w:tcPr>
            <w:tcW w:w="1962" w:type="dxa"/>
            <w:shd w:val="clear" w:color="auto" w:fill="E0E0E0"/>
            <w:vAlign w:val="center"/>
          </w:tcPr>
          <w:p w14:paraId="60A62287" w14:textId="03DD3C84"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Summer 2017</w:t>
            </w:r>
          </w:p>
        </w:tc>
        <w:tc>
          <w:tcPr>
            <w:tcW w:w="1184" w:type="dxa"/>
            <w:vAlign w:val="center"/>
          </w:tcPr>
          <w:p w14:paraId="60876F08" w14:textId="6906E5D2"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64</w:t>
            </w:r>
          </w:p>
        </w:tc>
      </w:tr>
      <w:tr w:rsidR="00C47C60" w:rsidRPr="00A42A15" w14:paraId="770471F1" w14:textId="77777777" w:rsidTr="00A809D9">
        <w:trPr>
          <w:jc w:val="center"/>
        </w:trPr>
        <w:tc>
          <w:tcPr>
            <w:tcW w:w="1962" w:type="dxa"/>
            <w:shd w:val="clear" w:color="auto" w:fill="E0E0E0"/>
            <w:vAlign w:val="center"/>
          </w:tcPr>
          <w:p w14:paraId="1E324A1A" w14:textId="7C419C10"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Fall 2017</w:t>
            </w:r>
          </w:p>
        </w:tc>
        <w:tc>
          <w:tcPr>
            <w:tcW w:w="1184" w:type="dxa"/>
            <w:vAlign w:val="center"/>
          </w:tcPr>
          <w:p w14:paraId="0A51966C" w14:textId="2FD820AC" w:rsidR="00C47C60" w:rsidRPr="00A42A15" w:rsidRDefault="007341AC" w:rsidP="00A809D9">
            <w:pPr>
              <w:spacing w:after="0" w:line="240" w:lineRule="auto"/>
              <w:jc w:val="center"/>
              <w:rPr>
                <w:rFonts w:ascii="Times New Roman" w:hAnsi="Times New Roman" w:cs="Times New Roman"/>
              </w:rPr>
            </w:pPr>
            <w:r w:rsidRPr="00A42A15">
              <w:rPr>
                <w:rFonts w:ascii="Times New Roman" w:hAnsi="Times New Roman" w:cs="Times New Roman"/>
              </w:rPr>
              <w:t>94</w:t>
            </w:r>
          </w:p>
        </w:tc>
      </w:tr>
      <w:tr w:rsidR="00C47C60" w:rsidRPr="00A42A15" w14:paraId="49635DCB" w14:textId="77777777" w:rsidTr="00A809D9">
        <w:trPr>
          <w:jc w:val="center"/>
        </w:trPr>
        <w:tc>
          <w:tcPr>
            <w:tcW w:w="1962" w:type="dxa"/>
            <w:shd w:val="clear" w:color="auto" w:fill="E0E0E0"/>
            <w:vAlign w:val="center"/>
          </w:tcPr>
          <w:p w14:paraId="00941A0C" w14:textId="697E5F08"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Spring 2018</w:t>
            </w:r>
          </w:p>
        </w:tc>
        <w:tc>
          <w:tcPr>
            <w:tcW w:w="1184" w:type="dxa"/>
            <w:vAlign w:val="center"/>
          </w:tcPr>
          <w:p w14:paraId="4CB7FCA0" w14:textId="06011138" w:rsidR="00C47C60" w:rsidRPr="00A42A15" w:rsidRDefault="00AB17EA" w:rsidP="00A809D9">
            <w:pPr>
              <w:spacing w:after="0" w:line="240" w:lineRule="auto"/>
              <w:jc w:val="center"/>
              <w:rPr>
                <w:rFonts w:ascii="Times New Roman" w:hAnsi="Times New Roman" w:cs="Times New Roman"/>
              </w:rPr>
            </w:pPr>
            <w:r w:rsidRPr="00A42A15">
              <w:rPr>
                <w:rFonts w:ascii="Times New Roman" w:hAnsi="Times New Roman" w:cs="Times New Roman"/>
              </w:rPr>
              <w:t>101</w:t>
            </w:r>
          </w:p>
        </w:tc>
      </w:tr>
      <w:tr w:rsidR="00C47C60" w:rsidRPr="00A42A15" w14:paraId="1D1C46D1" w14:textId="77777777" w:rsidTr="00A809D9">
        <w:trPr>
          <w:jc w:val="center"/>
        </w:trPr>
        <w:tc>
          <w:tcPr>
            <w:tcW w:w="1962" w:type="dxa"/>
            <w:shd w:val="clear" w:color="auto" w:fill="E0E0E0"/>
            <w:vAlign w:val="center"/>
          </w:tcPr>
          <w:p w14:paraId="0412079F" w14:textId="62ED8CF2"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Summer 2018</w:t>
            </w:r>
          </w:p>
        </w:tc>
        <w:tc>
          <w:tcPr>
            <w:tcW w:w="1184" w:type="dxa"/>
            <w:vAlign w:val="center"/>
          </w:tcPr>
          <w:p w14:paraId="42BB0E31" w14:textId="1F6406D8" w:rsidR="00C47C60" w:rsidRPr="00A42A15" w:rsidRDefault="008D0E52" w:rsidP="00A809D9">
            <w:pPr>
              <w:spacing w:after="0" w:line="240" w:lineRule="auto"/>
              <w:jc w:val="center"/>
              <w:rPr>
                <w:rFonts w:ascii="Times New Roman" w:hAnsi="Times New Roman" w:cs="Times New Roman"/>
              </w:rPr>
            </w:pPr>
            <w:r w:rsidRPr="00A42A15">
              <w:rPr>
                <w:rFonts w:ascii="Times New Roman" w:hAnsi="Times New Roman" w:cs="Times New Roman"/>
              </w:rPr>
              <w:t>78</w:t>
            </w:r>
          </w:p>
        </w:tc>
      </w:tr>
      <w:tr w:rsidR="00C47C60" w:rsidRPr="00A42A15" w14:paraId="17974F93" w14:textId="77777777" w:rsidTr="00A809D9">
        <w:trPr>
          <w:jc w:val="center"/>
        </w:trPr>
        <w:tc>
          <w:tcPr>
            <w:tcW w:w="1962" w:type="dxa"/>
            <w:shd w:val="clear" w:color="auto" w:fill="E0E0E0"/>
            <w:vAlign w:val="center"/>
          </w:tcPr>
          <w:p w14:paraId="60D591AC" w14:textId="44B07CC7"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Fall 2018</w:t>
            </w:r>
          </w:p>
        </w:tc>
        <w:tc>
          <w:tcPr>
            <w:tcW w:w="1184" w:type="dxa"/>
            <w:vAlign w:val="center"/>
          </w:tcPr>
          <w:p w14:paraId="7C4253D7" w14:textId="0AF8DBE4"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99</w:t>
            </w:r>
          </w:p>
        </w:tc>
      </w:tr>
      <w:tr w:rsidR="00C47C60" w:rsidRPr="00A42A15" w14:paraId="0A616F75" w14:textId="77777777" w:rsidTr="00A809D9">
        <w:trPr>
          <w:jc w:val="center"/>
        </w:trPr>
        <w:tc>
          <w:tcPr>
            <w:tcW w:w="1962" w:type="dxa"/>
            <w:shd w:val="clear" w:color="auto" w:fill="E0E0E0"/>
            <w:vAlign w:val="center"/>
          </w:tcPr>
          <w:p w14:paraId="22D4869B" w14:textId="2EDDBBB6"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Spring 2019</w:t>
            </w:r>
          </w:p>
        </w:tc>
        <w:tc>
          <w:tcPr>
            <w:tcW w:w="1184" w:type="dxa"/>
            <w:vAlign w:val="center"/>
          </w:tcPr>
          <w:p w14:paraId="4E3CB7BB" w14:textId="717A1F31"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106</w:t>
            </w:r>
          </w:p>
        </w:tc>
      </w:tr>
      <w:tr w:rsidR="00C47C60" w:rsidRPr="00A42A15" w14:paraId="4077296E" w14:textId="77777777" w:rsidTr="00A809D9">
        <w:trPr>
          <w:jc w:val="center"/>
        </w:trPr>
        <w:tc>
          <w:tcPr>
            <w:tcW w:w="1962" w:type="dxa"/>
            <w:shd w:val="clear" w:color="auto" w:fill="E0E0E0"/>
            <w:vAlign w:val="center"/>
          </w:tcPr>
          <w:p w14:paraId="56FD8BE8" w14:textId="55EDADA6"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Summer 2019</w:t>
            </w:r>
          </w:p>
        </w:tc>
        <w:tc>
          <w:tcPr>
            <w:tcW w:w="1184" w:type="dxa"/>
            <w:vAlign w:val="center"/>
          </w:tcPr>
          <w:p w14:paraId="57ED2A28" w14:textId="15C6F7F6"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88</w:t>
            </w:r>
          </w:p>
        </w:tc>
      </w:tr>
      <w:tr w:rsidR="00C47C60" w:rsidRPr="00A42A15" w14:paraId="6C52F036" w14:textId="77777777" w:rsidTr="00A809D9">
        <w:trPr>
          <w:jc w:val="center"/>
        </w:trPr>
        <w:tc>
          <w:tcPr>
            <w:tcW w:w="1962" w:type="dxa"/>
            <w:shd w:val="clear" w:color="auto" w:fill="E0E0E0"/>
            <w:vAlign w:val="center"/>
          </w:tcPr>
          <w:p w14:paraId="367D4631" w14:textId="1D807663"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Fall 2019</w:t>
            </w:r>
          </w:p>
        </w:tc>
        <w:tc>
          <w:tcPr>
            <w:tcW w:w="1184" w:type="dxa"/>
            <w:vAlign w:val="center"/>
          </w:tcPr>
          <w:p w14:paraId="7EFA887C" w14:textId="1574EB78"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111</w:t>
            </w:r>
          </w:p>
        </w:tc>
      </w:tr>
      <w:tr w:rsidR="00C47C60" w:rsidRPr="00A42A15" w14:paraId="35D0F455" w14:textId="77777777" w:rsidTr="00A809D9">
        <w:trPr>
          <w:jc w:val="center"/>
        </w:trPr>
        <w:tc>
          <w:tcPr>
            <w:tcW w:w="1962" w:type="dxa"/>
            <w:shd w:val="clear" w:color="auto" w:fill="E0E0E0"/>
            <w:vAlign w:val="center"/>
          </w:tcPr>
          <w:p w14:paraId="44D62880" w14:textId="012D2938"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Spring 2020</w:t>
            </w:r>
          </w:p>
        </w:tc>
        <w:tc>
          <w:tcPr>
            <w:tcW w:w="1184" w:type="dxa"/>
            <w:vAlign w:val="center"/>
          </w:tcPr>
          <w:p w14:paraId="66DC8B18" w14:textId="6ACF3A6E"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115</w:t>
            </w:r>
          </w:p>
        </w:tc>
      </w:tr>
      <w:tr w:rsidR="00C47C60" w:rsidRPr="00A42A15" w14:paraId="66DE42E5" w14:textId="77777777" w:rsidTr="00A809D9">
        <w:trPr>
          <w:jc w:val="center"/>
        </w:trPr>
        <w:tc>
          <w:tcPr>
            <w:tcW w:w="1962" w:type="dxa"/>
            <w:shd w:val="clear" w:color="auto" w:fill="E0E0E0"/>
            <w:vAlign w:val="center"/>
          </w:tcPr>
          <w:p w14:paraId="2C3A27D6" w14:textId="734DAEBB" w:rsidR="00C47C60" w:rsidRPr="00A42A15" w:rsidRDefault="00C47C60" w:rsidP="00A809D9">
            <w:pPr>
              <w:spacing w:after="0" w:line="240" w:lineRule="auto"/>
              <w:rPr>
                <w:rFonts w:ascii="Times New Roman" w:hAnsi="Times New Roman" w:cs="Times New Roman"/>
                <w:b/>
              </w:rPr>
            </w:pPr>
            <w:r w:rsidRPr="00A42A15">
              <w:rPr>
                <w:rFonts w:ascii="Times New Roman" w:hAnsi="Times New Roman" w:cs="Times New Roman"/>
                <w:b/>
              </w:rPr>
              <w:t>Summer 2020</w:t>
            </w:r>
          </w:p>
        </w:tc>
        <w:tc>
          <w:tcPr>
            <w:tcW w:w="1184" w:type="dxa"/>
            <w:vAlign w:val="center"/>
          </w:tcPr>
          <w:p w14:paraId="4E17171B" w14:textId="43CC76FA" w:rsidR="00C47C60" w:rsidRPr="00A42A15" w:rsidRDefault="00C47C60" w:rsidP="00A809D9">
            <w:pPr>
              <w:spacing w:after="0" w:line="240" w:lineRule="auto"/>
              <w:jc w:val="center"/>
              <w:rPr>
                <w:rFonts w:ascii="Times New Roman" w:hAnsi="Times New Roman" w:cs="Times New Roman"/>
              </w:rPr>
            </w:pPr>
            <w:r w:rsidRPr="00A42A15">
              <w:rPr>
                <w:rFonts w:ascii="Times New Roman" w:hAnsi="Times New Roman" w:cs="Times New Roman"/>
              </w:rPr>
              <w:t>95</w:t>
            </w:r>
          </w:p>
        </w:tc>
      </w:tr>
      <w:bookmarkEnd w:id="0"/>
    </w:tbl>
    <w:p w14:paraId="059A01D9" w14:textId="77777777" w:rsidR="00172C95" w:rsidRPr="00A42A15" w:rsidRDefault="00172C95" w:rsidP="00172C95">
      <w:pPr>
        <w:spacing w:after="0" w:line="240" w:lineRule="auto"/>
        <w:rPr>
          <w:rFonts w:ascii="Times New Roman" w:hAnsi="Times New Roman" w:cs="Times New Roman"/>
          <w:sz w:val="24"/>
          <w:szCs w:val="24"/>
        </w:rPr>
      </w:pPr>
    </w:p>
    <w:p w14:paraId="6D3D8E9F" w14:textId="6D9550DC" w:rsidR="00D662BF" w:rsidRPr="00A42A15" w:rsidRDefault="00D662BF" w:rsidP="00172C95">
      <w:pPr>
        <w:rPr>
          <w:rFonts w:ascii="Times New Roman" w:hAnsi="Times New Roman" w:cs="Times New Roman"/>
          <w:sz w:val="24"/>
          <w:szCs w:val="24"/>
        </w:rPr>
      </w:pPr>
    </w:p>
    <w:p w14:paraId="7E051EFB" w14:textId="6E406004" w:rsidR="003479C2" w:rsidRPr="00A42A15" w:rsidRDefault="00D74289" w:rsidP="003479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enrollment is </w:t>
      </w:r>
      <w:r w:rsidR="005F2F36" w:rsidRPr="00A42A15">
        <w:rPr>
          <w:rFonts w:ascii="Times New Roman" w:hAnsi="Times New Roman" w:cs="Times New Roman"/>
          <w:sz w:val="24"/>
          <w:szCs w:val="24"/>
        </w:rPr>
        <w:t>also tracked</w:t>
      </w:r>
      <w:r w:rsidR="003479C2" w:rsidRPr="00A42A15">
        <w:rPr>
          <w:rFonts w:ascii="Times New Roman" w:hAnsi="Times New Roman" w:cs="Times New Roman"/>
          <w:sz w:val="24"/>
          <w:szCs w:val="24"/>
        </w:rPr>
        <w:t xml:space="preserve"> </w:t>
      </w:r>
      <w:r>
        <w:rPr>
          <w:rFonts w:ascii="Times New Roman" w:hAnsi="Times New Roman" w:cs="Times New Roman"/>
          <w:sz w:val="24"/>
          <w:szCs w:val="24"/>
        </w:rPr>
        <w:t>by</w:t>
      </w:r>
      <w:r w:rsidRPr="00A42A15">
        <w:rPr>
          <w:rFonts w:ascii="Times New Roman" w:hAnsi="Times New Roman" w:cs="Times New Roman"/>
          <w:sz w:val="24"/>
          <w:szCs w:val="24"/>
        </w:rPr>
        <w:t xml:space="preserve"> </w:t>
      </w:r>
      <w:r w:rsidR="003479C2" w:rsidRPr="00A42A15">
        <w:rPr>
          <w:rFonts w:ascii="Times New Roman" w:hAnsi="Times New Roman" w:cs="Times New Roman"/>
          <w:sz w:val="24"/>
          <w:szCs w:val="24"/>
        </w:rPr>
        <w:t>each specialty. A review of th</w:t>
      </w:r>
      <w:r>
        <w:rPr>
          <w:rFonts w:ascii="Times New Roman" w:hAnsi="Times New Roman" w:cs="Times New Roman"/>
          <w:sz w:val="24"/>
          <w:szCs w:val="24"/>
        </w:rPr>
        <w:t>e</w:t>
      </w:r>
      <w:r w:rsidR="003479C2" w:rsidRPr="00A42A15">
        <w:rPr>
          <w:rFonts w:ascii="Times New Roman" w:hAnsi="Times New Roman" w:cs="Times New Roman"/>
          <w:sz w:val="24"/>
          <w:szCs w:val="24"/>
        </w:rPr>
        <w:t xml:space="preserve"> data </w:t>
      </w:r>
      <w:r>
        <w:rPr>
          <w:rFonts w:ascii="Times New Roman" w:hAnsi="Times New Roman" w:cs="Times New Roman"/>
          <w:sz w:val="24"/>
          <w:szCs w:val="24"/>
        </w:rPr>
        <w:t>indicates</w:t>
      </w:r>
      <w:r w:rsidR="003479C2" w:rsidRPr="00A42A15">
        <w:rPr>
          <w:rFonts w:ascii="Times New Roman" w:hAnsi="Times New Roman" w:cs="Times New Roman"/>
          <w:sz w:val="24"/>
          <w:szCs w:val="24"/>
        </w:rPr>
        <w:t xml:space="preserve"> that the School Counseling</w:t>
      </w:r>
      <w:r w:rsidR="00E15AD8">
        <w:rPr>
          <w:rFonts w:ascii="Times New Roman" w:hAnsi="Times New Roman" w:cs="Times New Roman"/>
          <w:sz w:val="24"/>
          <w:szCs w:val="24"/>
        </w:rPr>
        <w:t xml:space="preserve"> (SC)</w:t>
      </w:r>
      <w:r w:rsidR="003479C2" w:rsidRPr="00A42A15">
        <w:rPr>
          <w:rFonts w:ascii="Times New Roman" w:hAnsi="Times New Roman" w:cs="Times New Roman"/>
          <w:sz w:val="24"/>
          <w:szCs w:val="24"/>
        </w:rPr>
        <w:t xml:space="preserve"> track has remained stable, with only slight fluctuations in enrollment numbers since 201</w:t>
      </w:r>
      <w:r w:rsidR="00404530">
        <w:rPr>
          <w:rFonts w:ascii="Times New Roman" w:hAnsi="Times New Roman" w:cs="Times New Roman"/>
          <w:sz w:val="24"/>
          <w:szCs w:val="24"/>
        </w:rPr>
        <w:t>5</w:t>
      </w:r>
      <w:r w:rsidR="003479C2" w:rsidRPr="00A42A15">
        <w:rPr>
          <w:rFonts w:ascii="Times New Roman" w:hAnsi="Times New Roman" w:cs="Times New Roman"/>
          <w:sz w:val="24"/>
          <w:szCs w:val="24"/>
        </w:rPr>
        <w:t xml:space="preserve">. </w:t>
      </w:r>
      <w:r>
        <w:rPr>
          <w:rFonts w:ascii="Times New Roman" w:hAnsi="Times New Roman" w:cs="Times New Roman"/>
          <w:sz w:val="24"/>
          <w:szCs w:val="24"/>
        </w:rPr>
        <w:t>S</w:t>
      </w:r>
      <w:r w:rsidR="003479C2" w:rsidRPr="00A42A15">
        <w:rPr>
          <w:rFonts w:ascii="Times New Roman" w:hAnsi="Times New Roman" w:cs="Times New Roman"/>
          <w:sz w:val="24"/>
          <w:szCs w:val="24"/>
        </w:rPr>
        <w:t>ubstantial declines in</w:t>
      </w:r>
      <w:r w:rsidR="00E15AD8">
        <w:rPr>
          <w:rFonts w:ascii="Times New Roman" w:hAnsi="Times New Roman" w:cs="Times New Roman"/>
          <w:sz w:val="24"/>
          <w:szCs w:val="24"/>
        </w:rPr>
        <w:t xml:space="preserve"> summer</w:t>
      </w:r>
      <w:r w:rsidR="003479C2" w:rsidRPr="00A42A15">
        <w:rPr>
          <w:rFonts w:ascii="Times New Roman" w:hAnsi="Times New Roman" w:cs="Times New Roman"/>
          <w:sz w:val="24"/>
          <w:szCs w:val="24"/>
        </w:rPr>
        <w:t xml:space="preserve"> enrollment</w:t>
      </w:r>
      <w:r>
        <w:rPr>
          <w:rFonts w:ascii="Times New Roman" w:hAnsi="Times New Roman" w:cs="Times New Roman"/>
          <w:sz w:val="24"/>
          <w:szCs w:val="24"/>
        </w:rPr>
        <w:t xml:space="preserve"> can be observed beginning in summer 2017</w:t>
      </w:r>
      <w:r w:rsidR="003479C2" w:rsidRPr="00A42A15">
        <w:rPr>
          <w:rFonts w:ascii="Times New Roman" w:hAnsi="Times New Roman" w:cs="Times New Roman"/>
          <w:sz w:val="24"/>
          <w:szCs w:val="24"/>
        </w:rPr>
        <w:t xml:space="preserve"> </w:t>
      </w:r>
      <w:r>
        <w:rPr>
          <w:rFonts w:ascii="Times New Roman" w:hAnsi="Times New Roman" w:cs="Times New Roman"/>
          <w:sz w:val="24"/>
          <w:szCs w:val="24"/>
        </w:rPr>
        <w:t xml:space="preserve">as a result of the discontinuation of clinical coursework by </w:t>
      </w:r>
      <w:r w:rsidR="003479C2" w:rsidRPr="00A42A15">
        <w:rPr>
          <w:rFonts w:ascii="Times New Roman" w:hAnsi="Times New Roman" w:cs="Times New Roman"/>
          <w:sz w:val="24"/>
          <w:szCs w:val="24"/>
        </w:rPr>
        <w:t xml:space="preserve">SC students. This program policy was implemented due to an increasing number of districts transitioning summer school programs to an online format. As such, </w:t>
      </w:r>
      <w:r w:rsidR="00E01163">
        <w:rPr>
          <w:rFonts w:ascii="Times New Roman" w:hAnsi="Times New Roman" w:cs="Times New Roman"/>
          <w:sz w:val="24"/>
          <w:szCs w:val="24"/>
        </w:rPr>
        <w:t xml:space="preserve">there were less </w:t>
      </w:r>
      <w:r w:rsidR="003479C2" w:rsidRPr="00A42A15">
        <w:rPr>
          <w:rFonts w:ascii="Times New Roman" w:hAnsi="Times New Roman" w:cs="Times New Roman"/>
          <w:sz w:val="24"/>
          <w:szCs w:val="24"/>
        </w:rPr>
        <w:t>opportunities for obtaining direct hours</w:t>
      </w:r>
      <w:r w:rsidR="00B3031F">
        <w:rPr>
          <w:rFonts w:ascii="Times New Roman" w:hAnsi="Times New Roman" w:cs="Times New Roman"/>
          <w:sz w:val="24"/>
          <w:szCs w:val="24"/>
        </w:rPr>
        <w:t>.</w:t>
      </w:r>
      <w:r w:rsidR="00B65FE8" w:rsidRPr="00A42A15">
        <w:rPr>
          <w:rFonts w:ascii="Times New Roman" w:hAnsi="Times New Roman" w:cs="Times New Roman"/>
          <w:sz w:val="24"/>
          <w:szCs w:val="24"/>
        </w:rPr>
        <w:t xml:space="preserve"> The program also traditionally offers less courses in the summer semester.</w:t>
      </w:r>
    </w:p>
    <w:p w14:paraId="258281D0" w14:textId="77777777" w:rsidR="003479C2" w:rsidRPr="00A42A15" w:rsidRDefault="003479C2" w:rsidP="003479C2">
      <w:pPr>
        <w:spacing w:after="0" w:line="240" w:lineRule="auto"/>
        <w:rPr>
          <w:rFonts w:ascii="Times New Roman" w:hAnsi="Times New Roman" w:cs="Times New Roman"/>
          <w:sz w:val="24"/>
          <w:szCs w:val="24"/>
        </w:rPr>
      </w:pPr>
    </w:p>
    <w:p w14:paraId="1ABAE181" w14:textId="33AE757E" w:rsidR="003479C2" w:rsidRPr="00A42A15" w:rsidRDefault="00E15AD8" w:rsidP="003479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w:t>
      </w:r>
      <w:r w:rsidR="003479C2" w:rsidRPr="00A42A15">
        <w:rPr>
          <w:rFonts w:ascii="Times New Roman" w:hAnsi="Times New Roman" w:cs="Times New Roman"/>
          <w:sz w:val="24"/>
          <w:szCs w:val="24"/>
        </w:rPr>
        <w:t xml:space="preserve">nrollment in Clinical Mental Health Counseling (CMHC) has steadily increased since </w:t>
      </w:r>
      <w:r w:rsidR="00477A2F">
        <w:rPr>
          <w:rFonts w:ascii="Times New Roman" w:hAnsi="Times New Roman" w:cs="Times New Roman"/>
          <w:sz w:val="24"/>
          <w:szCs w:val="24"/>
        </w:rPr>
        <w:t>Fall 2015</w:t>
      </w:r>
      <w:r w:rsidR="00B65FE8" w:rsidRPr="00A42A15">
        <w:rPr>
          <w:rFonts w:ascii="Times New Roman" w:hAnsi="Times New Roman" w:cs="Times New Roman"/>
          <w:sz w:val="24"/>
          <w:szCs w:val="24"/>
        </w:rPr>
        <w:t>, which also reflects increasing application numbers</w:t>
      </w:r>
      <w:r w:rsidR="00DC351C" w:rsidRPr="00A42A15">
        <w:rPr>
          <w:rFonts w:ascii="Times New Roman" w:hAnsi="Times New Roman" w:cs="Times New Roman"/>
          <w:sz w:val="24"/>
          <w:szCs w:val="24"/>
        </w:rPr>
        <w:t>. The MCFC concentration, which began in Fall 2016 has steadily grown</w:t>
      </w:r>
      <w:r w:rsidR="00AD1FE4" w:rsidRPr="00A42A15">
        <w:rPr>
          <w:rFonts w:ascii="Times New Roman" w:hAnsi="Times New Roman" w:cs="Times New Roman"/>
          <w:sz w:val="24"/>
          <w:szCs w:val="24"/>
        </w:rPr>
        <w:t xml:space="preserve">, though this must also be examined in the context of the MCFC certificate. </w:t>
      </w:r>
      <w:r w:rsidR="004B0A82" w:rsidRPr="00A42A15">
        <w:rPr>
          <w:rFonts w:ascii="Times New Roman" w:hAnsi="Times New Roman" w:cs="Times New Roman"/>
          <w:sz w:val="24"/>
          <w:szCs w:val="24"/>
        </w:rPr>
        <w:t>As the MCFC concentration was the newest, and did not yet have CACREP-accreditation</w:t>
      </w:r>
      <w:r w:rsidR="0074525C" w:rsidRPr="00A42A15">
        <w:rPr>
          <w:rFonts w:ascii="Times New Roman" w:hAnsi="Times New Roman" w:cs="Times New Roman"/>
          <w:sz w:val="24"/>
          <w:szCs w:val="24"/>
        </w:rPr>
        <w:t xml:space="preserve">, we saw a trend of </w:t>
      </w:r>
      <w:r w:rsidR="003479C2" w:rsidRPr="00A42A15">
        <w:rPr>
          <w:rFonts w:ascii="Times New Roman" w:hAnsi="Times New Roman" w:cs="Times New Roman"/>
          <w:sz w:val="24"/>
          <w:szCs w:val="24"/>
        </w:rPr>
        <w:t>students</w:t>
      </w:r>
      <w:r w:rsidR="0074525C" w:rsidRPr="00A42A15">
        <w:rPr>
          <w:rFonts w:ascii="Times New Roman" w:hAnsi="Times New Roman" w:cs="Times New Roman"/>
          <w:sz w:val="24"/>
          <w:szCs w:val="24"/>
        </w:rPr>
        <w:t xml:space="preserve"> </w:t>
      </w:r>
      <w:r w:rsidR="003479C2" w:rsidRPr="00A42A15">
        <w:rPr>
          <w:rFonts w:ascii="Times New Roman" w:hAnsi="Times New Roman" w:cs="Times New Roman"/>
          <w:sz w:val="24"/>
          <w:szCs w:val="24"/>
        </w:rPr>
        <w:t xml:space="preserve">who </w:t>
      </w:r>
      <w:r>
        <w:rPr>
          <w:rFonts w:ascii="Times New Roman" w:hAnsi="Times New Roman" w:cs="Times New Roman"/>
          <w:sz w:val="24"/>
          <w:szCs w:val="24"/>
        </w:rPr>
        <w:t>were</w:t>
      </w:r>
      <w:r w:rsidR="003479C2" w:rsidRPr="00A42A15">
        <w:rPr>
          <w:rFonts w:ascii="Times New Roman" w:hAnsi="Times New Roman" w:cs="Times New Roman"/>
          <w:sz w:val="24"/>
          <w:szCs w:val="24"/>
        </w:rPr>
        <w:t xml:space="preserve"> primarily interested in MCFC, but also want</w:t>
      </w:r>
      <w:r>
        <w:rPr>
          <w:rFonts w:ascii="Times New Roman" w:hAnsi="Times New Roman" w:cs="Times New Roman"/>
          <w:sz w:val="24"/>
          <w:szCs w:val="24"/>
        </w:rPr>
        <w:t>ed</w:t>
      </w:r>
      <w:r w:rsidR="003479C2" w:rsidRPr="00A42A15">
        <w:rPr>
          <w:rFonts w:ascii="Times New Roman" w:hAnsi="Times New Roman" w:cs="Times New Roman"/>
          <w:sz w:val="24"/>
          <w:szCs w:val="24"/>
        </w:rPr>
        <w:t xml:space="preserve"> extra training in CMHC, choosing to simultaneously enroll in the CMHC specialty and the MCFC certification program.</w:t>
      </w:r>
      <w:r w:rsidR="0074525C" w:rsidRPr="00A42A15">
        <w:rPr>
          <w:rFonts w:ascii="Times New Roman" w:hAnsi="Times New Roman" w:cs="Times New Roman"/>
          <w:sz w:val="24"/>
          <w:szCs w:val="24"/>
        </w:rPr>
        <w:t xml:space="preserve"> This gave them access to the primary courses of both concentrations</w:t>
      </w:r>
      <w:r w:rsidR="0064020C" w:rsidRPr="00A42A15">
        <w:rPr>
          <w:rFonts w:ascii="Times New Roman" w:hAnsi="Times New Roman" w:cs="Times New Roman"/>
          <w:sz w:val="24"/>
          <w:szCs w:val="24"/>
        </w:rPr>
        <w:t>.</w:t>
      </w:r>
      <w:r w:rsidR="003479C2" w:rsidRPr="00A42A15">
        <w:rPr>
          <w:rFonts w:ascii="Times New Roman" w:hAnsi="Times New Roman" w:cs="Times New Roman"/>
          <w:sz w:val="24"/>
          <w:szCs w:val="24"/>
        </w:rPr>
        <w:t xml:space="preserve"> Feedback from students appears to indicate that the desire to appear more marketable upon graduation supersedes their primary interest in MCFC. In other words, </w:t>
      </w:r>
      <w:r>
        <w:rPr>
          <w:rFonts w:ascii="Times New Roman" w:hAnsi="Times New Roman" w:cs="Times New Roman"/>
          <w:sz w:val="24"/>
          <w:szCs w:val="24"/>
        </w:rPr>
        <w:t xml:space="preserve">gauging </w:t>
      </w:r>
      <w:r w:rsidR="003479C2" w:rsidRPr="00A42A15">
        <w:rPr>
          <w:rFonts w:ascii="Times New Roman" w:hAnsi="Times New Roman" w:cs="Times New Roman"/>
          <w:sz w:val="24"/>
          <w:szCs w:val="24"/>
        </w:rPr>
        <w:t>enrollment in the MCFC specialty program</w:t>
      </w:r>
      <w:r w:rsidR="0064020C" w:rsidRPr="00A42A15">
        <w:rPr>
          <w:rFonts w:ascii="Times New Roman" w:hAnsi="Times New Roman" w:cs="Times New Roman"/>
          <w:sz w:val="24"/>
          <w:szCs w:val="24"/>
        </w:rPr>
        <w:t xml:space="preserve"> </w:t>
      </w:r>
      <w:r>
        <w:rPr>
          <w:rFonts w:ascii="Times New Roman" w:hAnsi="Times New Roman" w:cs="Times New Roman"/>
          <w:sz w:val="24"/>
          <w:szCs w:val="24"/>
        </w:rPr>
        <w:t>i</w:t>
      </w:r>
      <w:r w:rsidR="0064020C" w:rsidRPr="00A42A15">
        <w:rPr>
          <w:rFonts w:ascii="Times New Roman" w:hAnsi="Times New Roman" w:cs="Times New Roman"/>
          <w:sz w:val="24"/>
          <w:szCs w:val="24"/>
        </w:rPr>
        <w:t>s</w:t>
      </w:r>
      <w:r w:rsidR="003479C2" w:rsidRPr="00A42A15">
        <w:rPr>
          <w:rFonts w:ascii="Times New Roman" w:hAnsi="Times New Roman" w:cs="Times New Roman"/>
          <w:sz w:val="24"/>
          <w:szCs w:val="24"/>
        </w:rPr>
        <w:t xml:space="preserve"> undermined by the MCFC certificate option. To </w:t>
      </w:r>
      <w:r w:rsidR="00E01163">
        <w:rPr>
          <w:rFonts w:ascii="Times New Roman" w:hAnsi="Times New Roman" w:cs="Times New Roman"/>
          <w:sz w:val="24"/>
          <w:szCs w:val="24"/>
        </w:rPr>
        <w:t>address this issue</w:t>
      </w:r>
      <w:r w:rsidR="003479C2" w:rsidRPr="00A42A15">
        <w:rPr>
          <w:rFonts w:ascii="Times New Roman" w:hAnsi="Times New Roman" w:cs="Times New Roman"/>
          <w:sz w:val="24"/>
          <w:szCs w:val="24"/>
        </w:rPr>
        <w:t>, the counseling program faculty introduced a CMHC certificate option</w:t>
      </w:r>
      <w:r w:rsidR="0064020C" w:rsidRPr="00A42A15">
        <w:rPr>
          <w:rFonts w:ascii="Times New Roman" w:hAnsi="Times New Roman" w:cs="Times New Roman"/>
          <w:sz w:val="24"/>
          <w:szCs w:val="24"/>
        </w:rPr>
        <w:t xml:space="preserve"> that </w:t>
      </w:r>
      <w:r w:rsidR="002209B9" w:rsidRPr="00A42A15">
        <w:rPr>
          <w:rFonts w:ascii="Times New Roman" w:hAnsi="Times New Roman" w:cs="Times New Roman"/>
          <w:sz w:val="24"/>
          <w:szCs w:val="24"/>
        </w:rPr>
        <w:t xml:space="preserve">was approved in </w:t>
      </w:r>
      <w:r>
        <w:rPr>
          <w:rFonts w:ascii="Times New Roman" w:hAnsi="Times New Roman" w:cs="Times New Roman"/>
          <w:sz w:val="24"/>
          <w:szCs w:val="24"/>
        </w:rPr>
        <w:t>Spring</w:t>
      </w:r>
      <w:r w:rsidR="00C62342" w:rsidRPr="00A42A15">
        <w:rPr>
          <w:rFonts w:ascii="Times New Roman" w:hAnsi="Times New Roman" w:cs="Times New Roman"/>
          <w:sz w:val="24"/>
          <w:szCs w:val="24"/>
        </w:rPr>
        <w:t xml:space="preserve"> 2019 and</w:t>
      </w:r>
      <w:r w:rsidR="004F3F07" w:rsidRPr="00A42A15">
        <w:rPr>
          <w:rFonts w:ascii="Times New Roman" w:hAnsi="Times New Roman" w:cs="Times New Roman"/>
          <w:sz w:val="24"/>
          <w:szCs w:val="24"/>
        </w:rPr>
        <w:t xml:space="preserve"> was first offered in </w:t>
      </w:r>
      <w:r>
        <w:rPr>
          <w:rFonts w:ascii="Times New Roman" w:hAnsi="Times New Roman" w:cs="Times New Roman"/>
          <w:sz w:val="24"/>
          <w:szCs w:val="24"/>
        </w:rPr>
        <w:t>Fall</w:t>
      </w:r>
      <w:r w:rsidR="004F3F07" w:rsidRPr="00A42A15">
        <w:rPr>
          <w:rFonts w:ascii="Times New Roman" w:hAnsi="Times New Roman" w:cs="Times New Roman"/>
          <w:sz w:val="24"/>
          <w:szCs w:val="24"/>
        </w:rPr>
        <w:t xml:space="preserve"> 2019</w:t>
      </w:r>
      <w:r w:rsidR="003479C2" w:rsidRPr="00A42A15">
        <w:rPr>
          <w:rFonts w:ascii="Times New Roman" w:hAnsi="Times New Roman" w:cs="Times New Roman"/>
          <w:sz w:val="24"/>
          <w:szCs w:val="24"/>
        </w:rPr>
        <w:t xml:space="preserve">. This option </w:t>
      </w:r>
      <w:r w:rsidR="00B57540">
        <w:rPr>
          <w:rFonts w:ascii="Times New Roman" w:hAnsi="Times New Roman" w:cs="Times New Roman"/>
          <w:sz w:val="24"/>
          <w:szCs w:val="24"/>
        </w:rPr>
        <w:t>allows students</w:t>
      </w:r>
      <w:r w:rsidR="003479C2" w:rsidRPr="00A42A15">
        <w:rPr>
          <w:rFonts w:ascii="Times New Roman" w:hAnsi="Times New Roman" w:cs="Times New Roman"/>
          <w:sz w:val="24"/>
          <w:szCs w:val="24"/>
        </w:rPr>
        <w:t xml:space="preserve">, who are primarily interested in MCFC, to still specialize in their desired area, while also allowing them to pursue additional training in clinical mental health. </w:t>
      </w:r>
      <w:r w:rsidR="00EE47E8" w:rsidRPr="000E1130">
        <w:rPr>
          <w:rFonts w:ascii="Times New Roman" w:hAnsi="Times New Roman" w:cs="Times New Roman"/>
          <w:sz w:val="24"/>
          <w:szCs w:val="24"/>
        </w:rPr>
        <w:t>T</w:t>
      </w:r>
      <w:r w:rsidR="002F781B" w:rsidRPr="000E1130">
        <w:rPr>
          <w:rFonts w:ascii="Times New Roman" w:hAnsi="Times New Roman" w:cs="Times New Roman"/>
          <w:sz w:val="24"/>
          <w:szCs w:val="24"/>
        </w:rPr>
        <w:t>he CP does have some students who are admitted just for  completion of the MCFC</w:t>
      </w:r>
      <w:r w:rsidR="000E1130" w:rsidRPr="000E1130">
        <w:rPr>
          <w:rFonts w:ascii="Times New Roman" w:hAnsi="Times New Roman" w:cs="Times New Roman"/>
          <w:sz w:val="24"/>
          <w:szCs w:val="24"/>
        </w:rPr>
        <w:t xml:space="preserve"> and CMH</w:t>
      </w:r>
      <w:r w:rsidR="00271F95">
        <w:rPr>
          <w:rFonts w:ascii="Times New Roman" w:hAnsi="Times New Roman" w:cs="Times New Roman"/>
          <w:sz w:val="24"/>
          <w:szCs w:val="24"/>
        </w:rPr>
        <w:t xml:space="preserve">C </w:t>
      </w:r>
      <w:r w:rsidR="000E1130" w:rsidRPr="000E1130">
        <w:rPr>
          <w:rFonts w:ascii="Times New Roman" w:hAnsi="Times New Roman" w:cs="Times New Roman"/>
          <w:sz w:val="24"/>
          <w:szCs w:val="24"/>
        </w:rPr>
        <w:t>certificate</w:t>
      </w:r>
      <w:r w:rsidR="00271F95">
        <w:rPr>
          <w:rFonts w:ascii="Times New Roman" w:hAnsi="Times New Roman" w:cs="Times New Roman"/>
          <w:sz w:val="24"/>
          <w:szCs w:val="24"/>
        </w:rPr>
        <w:t>s</w:t>
      </w:r>
      <w:r w:rsidR="000E1130" w:rsidRPr="000E1130">
        <w:rPr>
          <w:rFonts w:ascii="Times New Roman" w:hAnsi="Times New Roman" w:cs="Times New Roman"/>
          <w:sz w:val="24"/>
          <w:szCs w:val="24"/>
        </w:rPr>
        <w:t>.</w:t>
      </w:r>
      <w:r w:rsidR="002F781B" w:rsidRPr="000E1130">
        <w:rPr>
          <w:rFonts w:ascii="Times New Roman" w:hAnsi="Times New Roman" w:cs="Times New Roman"/>
          <w:sz w:val="24"/>
          <w:szCs w:val="24"/>
        </w:rPr>
        <w:t xml:space="preserve"> </w:t>
      </w:r>
    </w:p>
    <w:p w14:paraId="6EE58C4C" w14:textId="77443F36" w:rsidR="00B80FA3" w:rsidRPr="00A42A15" w:rsidRDefault="00B80FA3" w:rsidP="00172C9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74"/>
        <w:gridCol w:w="1349"/>
        <w:gridCol w:w="1362"/>
        <w:gridCol w:w="1252"/>
        <w:gridCol w:w="1353"/>
        <w:gridCol w:w="1855"/>
      </w:tblGrid>
      <w:tr w:rsidR="00CB2E7E" w:rsidRPr="00A42A15" w14:paraId="1ED32C29" w14:textId="77777777" w:rsidTr="00A32193">
        <w:tc>
          <w:tcPr>
            <w:tcW w:w="1374" w:type="dxa"/>
            <w:shd w:val="clear" w:color="auto" w:fill="000000" w:themeFill="text1"/>
            <w:vAlign w:val="center"/>
          </w:tcPr>
          <w:p w14:paraId="1786C802" w14:textId="77777777" w:rsidR="00CB2E7E" w:rsidRPr="00A42A15" w:rsidRDefault="00CB2E7E" w:rsidP="00E50525">
            <w:pPr>
              <w:spacing w:after="0" w:line="240" w:lineRule="auto"/>
              <w:jc w:val="center"/>
              <w:rPr>
                <w:rFonts w:ascii="Times New Roman" w:hAnsi="Times New Roman" w:cs="Times New Roman"/>
              </w:rPr>
            </w:pPr>
          </w:p>
        </w:tc>
        <w:tc>
          <w:tcPr>
            <w:tcW w:w="1349" w:type="dxa"/>
            <w:shd w:val="clear" w:color="auto" w:fill="000000" w:themeFill="text1"/>
            <w:vAlign w:val="center"/>
          </w:tcPr>
          <w:p w14:paraId="28B3C2CE" w14:textId="77777777"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b/>
                <w:bCs/>
                <w:color w:val="FFFFFF"/>
              </w:rPr>
              <w:t>AGYC</w:t>
            </w:r>
          </w:p>
        </w:tc>
        <w:tc>
          <w:tcPr>
            <w:tcW w:w="1362" w:type="dxa"/>
            <w:shd w:val="clear" w:color="auto" w:fill="000000" w:themeFill="text1"/>
            <w:vAlign w:val="center"/>
          </w:tcPr>
          <w:p w14:paraId="134516A8" w14:textId="77777777"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b/>
                <w:bCs/>
                <w:color w:val="FFFFFF"/>
              </w:rPr>
              <w:t>CMHC</w:t>
            </w:r>
          </w:p>
        </w:tc>
        <w:tc>
          <w:tcPr>
            <w:tcW w:w="1252" w:type="dxa"/>
            <w:shd w:val="clear" w:color="auto" w:fill="000000" w:themeFill="text1"/>
            <w:vAlign w:val="center"/>
          </w:tcPr>
          <w:p w14:paraId="22C75C9A" w14:textId="77777777"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b/>
                <w:bCs/>
                <w:color w:val="FFFFFF"/>
              </w:rPr>
              <w:t>SC</w:t>
            </w:r>
          </w:p>
        </w:tc>
        <w:tc>
          <w:tcPr>
            <w:tcW w:w="1353" w:type="dxa"/>
            <w:shd w:val="clear" w:color="auto" w:fill="000000" w:themeFill="text1"/>
            <w:vAlign w:val="center"/>
          </w:tcPr>
          <w:p w14:paraId="55383525" w14:textId="77777777"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b/>
                <w:bCs/>
                <w:color w:val="FFFFFF"/>
              </w:rPr>
              <w:t>MCFC</w:t>
            </w:r>
          </w:p>
        </w:tc>
        <w:tc>
          <w:tcPr>
            <w:tcW w:w="1855" w:type="dxa"/>
            <w:shd w:val="clear" w:color="auto" w:fill="000000" w:themeFill="text1"/>
            <w:vAlign w:val="center"/>
          </w:tcPr>
          <w:p w14:paraId="685BA4EE" w14:textId="2263C289"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b/>
                <w:bCs/>
                <w:color w:val="FFFFFF"/>
              </w:rPr>
              <w:t>MCFC Cert.</w:t>
            </w:r>
            <w:r w:rsidR="00A32193" w:rsidRPr="00A42A15">
              <w:rPr>
                <w:rFonts w:ascii="Times New Roman" w:hAnsi="Times New Roman" w:cs="Times New Roman"/>
                <w:b/>
                <w:bCs/>
                <w:color w:val="FFFFFF"/>
              </w:rPr>
              <w:t>-Only</w:t>
            </w:r>
          </w:p>
        </w:tc>
      </w:tr>
      <w:tr w:rsidR="00CB2E7E" w:rsidRPr="00A42A15" w14:paraId="1D54762E" w14:textId="77777777" w:rsidTr="00A32193">
        <w:tc>
          <w:tcPr>
            <w:tcW w:w="1374" w:type="dxa"/>
            <w:vAlign w:val="center"/>
          </w:tcPr>
          <w:p w14:paraId="1BA3600F" w14:textId="751163A9"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Fall 2015</w:t>
            </w:r>
          </w:p>
        </w:tc>
        <w:tc>
          <w:tcPr>
            <w:tcW w:w="1349" w:type="dxa"/>
            <w:vAlign w:val="center"/>
          </w:tcPr>
          <w:p w14:paraId="65A8D53F" w14:textId="4581885E"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4</w:t>
            </w:r>
          </w:p>
        </w:tc>
        <w:tc>
          <w:tcPr>
            <w:tcW w:w="1362" w:type="dxa"/>
            <w:vAlign w:val="center"/>
          </w:tcPr>
          <w:p w14:paraId="1909BBC3" w14:textId="1EF8FD70"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50</w:t>
            </w:r>
          </w:p>
        </w:tc>
        <w:tc>
          <w:tcPr>
            <w:tcW w:w="1252" w:type="dxa"/>
            <w:vAlign w:val="center"/>
          </w:tcPr>
          <w:p w14:paraId="12D73885" w14:textId="4B7A5C30"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27</w:t>
            </w:r>
          </w:p>
        </w:tc>
        <w:tc>
          <w:tcPr>
            <w:tcW w:w="1353" w:type="dxa"/>
            <w:vAlign w:val="center"/>
          </w:tcPr>
          <w:p w14:paraId="659FF19F" w14:textId="25ACAB3D"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855" w:type="dxa"/>
            <w:vAlign w:val="center"/>
          </w:tcPr>
          <w:p w14:paraId="44056084" w14:textId="551A2E03"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r>
      <w:tr w:rsidR="00CB2E7E" w:rsidRPr="00A42A15" w14:paraId="220795E5" w14:textId="77777777" w:rsidTr="00A32193">
        <w:tc>
          <w:tcPr>
            <w:tcW w:w="1374" w:type="dxa"/>
            <w:vAlign w:val="center"/>
          </w:tcPr>
          <w:p w14:paraId="4C468E77" w14:textId="637A4BF9"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Spring 2016</w:t>
            </w:r>
          </w:p>
        </w:tc>
        <w:tc>
          <w:tcPr>
            <w:tcW w:w="1349" w:type="dxa"/>
            <w:vAlign w:val="center"/>
          </w:tcPr>
          <w:p w14:paraId="49D43735" w14:textId="47C35C5A"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1</w:t>
            </w:r>
          </w:p>
        </w:tc>
        <w:tc>
          <w:tcPr>
            <w:tcW w:w="1362" w:type="dxa"/>
            <w:vAlign w:val="center"/>
          </w:tcPr>
          <w:p w14:paraId="6D56CD22" w14:textId="1216A6D8"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56</w:t>
            </w:r>
          </w:p>
        </w:tc>
        <w:tc>
          <w:tcPr>
            <w:tcW w:w="1252" w:type="dxa"/>
            <w:vAlign w:val="center"/>
          </w:tcPr>
          <w:p w14:paraId="00F8AF72" w14:textId="035175F3"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30</w:t>
            </w:r>
          </w:p>
        </w:tc>
        <w:tc>
          <w:tcPr>
            <w:tcW w:w="1353" w:type="dxa"/>
            <w:vAlign w:val="center"/>
          </w:tcPr>
          <w:p w14:paraId="5F6F4D21" w14:textId="4FE18112"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855" w:type="dxa"/>
            <w:vAlign w:val="center"/>
          </w:tcPr>
          <w:p w14:paraId="4BEEC4FA" w14:textId="33BD29ED"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r>
      <w:tr w:rsidR="00CB2E7E" w:rsidRPr="00A42A15" w14:paraId="332CEEF3" w14:textId="77777777" w:rsidTr="00A32193">
        <w:tc>
          <w:tcPr>
            <w:tcW w:w="1374" w:type="dxa"/>
            <w:vAlign w:val="center"/>
          </w:tcPr>
          <w:p w14:paraId="180E3B53" w14:textId="05C854F8"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Summer 2016</w:t>
            </w:r>
          </w:p>
        </w:tc>
        <w:tc>
          <w:tcPr>
            <w:tcW w:w="1349" w:type="dxa"/>
            <w:vAlign w:val="center"/>
          </w:tcPr>
          <w:p w14:paraId="75069D6A" w14:textId="7F89EDA3"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19D1E98A" w14:textId="51B9F683"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53</w:t>
            </w:r>
          </w:p>
        </w:tc>
        <w:tc>
          <w:tcPr>
            <w:tcW w:w="1252" w:type="dxa"/>
            <w:vAlign w:val="center"/>
          </w:tcPr>
          <w:p w14:paraId="0381BDB0" w14:textId="49AC6855"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23</w:t>
            </w:r>
          </w:p>
        </w:tc>
        <w:tc>
          <w:tcPr>
            <w:tcW w:w="1353" w:type="dxa"/>
            <w:vAlign w:val="center"/>
          </w:tcPr>
          <w:p w14:paraId="2356C40F" w14:textId="7BA38A92"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855" w:type="dxa"/>
            <w:vAlign w:val="center"/>
          </w:tcPr>
          <w:p w14:paraId="52AC32FD" w14:textId="67521739"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r>
      <w:tr w:rsidR="00CB2E7E" w:rsidRPr="00A42A15" w14:paraId="50017AB8" w14:textId="77777777" w:rsidTr="00A32193">
        <w:tc>
          <w:tcPr>
            <w:tcW w:w="1374" w:type="dxa"/>
            <w:vAlign w:val="center"/>
          </w:tcPr>
          <w:p w14:paraId="5DD7AE5A" w14:textId="025F0D56"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Fall 2016</w:t>
            </w:r>
          </w:p>
        </w:tc>
        <w:tc>
          <w:tcPr>
            <w:tcW w:w="1349" w:type="dxa"/>
            <w:vAlign w:val="center"/>
          </w:tcPr>
          <w:p w14:paraId="364896E0" w14:textId="7CE0ACC8"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19D0E399" w14:textId="181A0366"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59</w:t>
            </w:r>
          </w:p>
        </w:tc>
        <w:tc>
          <w:tcPr>
            <w:tcW w:w="1252" w:type="dxa"/>
            <w:vAlign w:val="center"/>
          </w:tcPr>
          <w:p w14:paraId="1B713E43" w14:textId="31A3A3C4"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28</w:t>
            </w:r>
          </w:p>
        </w:tc>
        <w:tc>
          <w:tcPr>
            <w:tcW w:w="1353" w:type="dxa"/>
            <w:vAlign w:val="center"/>
          </w:tcPr>
          <w:p w14:paraId="626E429D" w14:textId="207CCC66"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1</w:t>
            </w:r>
          </w:p>
        </w:tc>
        <w:tc>
          <w:tcPr>
            <w:tcW w:w="1855" w:type="dxa"/>
            <w:vAlign w:val="center"/>
          </w:tcPr>
          <w:p w14:paraId="3AFE7CAB" w14:textId="772BC9F8"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3</w:t>
            </w:r>
          </w:p>
        </w:tc>
      </w:tr>
      <w:tr w:rsidR="00CB2E7E" w:rsidRPr="00A42A15" w14:paraId="1E1EEE77" w14:textId="77777777" w:rsidTr="00A32193">
        <w:tc>
          <w:tcPr>
            <w:tcW w:w="1374" w:type="dxa"/>
            <w:vAlign w:val="center"/>
          </w:tcPr>
          <w:p w14:paraId="63CDD370" w14:textId="4767E9FB"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Spring 2017</w:t>
            </w:r>
          </w:p>
        </w:tc>
        <w:tc>
          <w:tcPr>
            <w:tcW w:w="1349" w:type="dxa"/>
            <w:vAlign w:val="center"/>
          </w:tcPr>
          <w:p w14:paraId="6A354D6C" w14:textId="193A7D42"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19E80AFE" w14:textId="0FE351EF"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63</w:t>
            </w:r>
          </w:p>
        </w:tc>
        <w:tc>
          <w:tcPr>
            <w:tcW w:w="1252" w:type="dxa"/>
            <w:vAlign w:val="center"/>
          </w:tcPr>
          <w:p w14:paraId="246E6DC8" w14:textId="734609E1"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31</w:t>
            </w:r>
          </w:p>
        </w:tc>
        <w:tc>
          <w:tcPr>
            <w:tcW w:w="1353" w:type="dxa"/>
            <w:vAlign w:val="center"/>
          </w:tcPr>
          <w:p w14:paraId="3B76661A" w14:textId="57D2FCD9"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w:t>
            </w:r>
          </w:p>
        </w:tc>
        <w:tc>
          <w:tcPr>
            <w:tcW w:w="1855" w:type="dxa"/>
            <w:vAlign w:val="center"/>
          </w:tcPr>
          <w:p w14:paraId="4837C21F" w14:textId="75ED1BC3"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w:t>
            </w:r>
          </w:p>
        </w:tc>
      </w:tr>
      <w:tr w:rsidR="00CB2E7E" w:rsidRPr="00A42A15" w14:paraId="3E35E67C" w14:textId="77777777" w:rsidTr="00A32193">
        <w:tc>
          <w:tcPr>
            <w:tcW w:w="1374" w:type="dxa"/>
            <w:vAlign w:val="center"/>
          </w:tcPr>
          <w:p w14:paraId="23AEFE7C" w14:textId="057BD09D"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Summer 2017</w:t>
            </w:r>
          </w:p>
        </w:tc>
        <w:tc>
          <w:tcPr>
            <w:tcW w:w="1349" w:type="dxa"/>
            <w:vAlign w:val="center"/>
          </w:tcPr>
          <w:p w14:paraId="0B6597D1" w14:textId="3F04F141"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537DEC50" w14:textId="3A971E51"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44</w:t>
            </w:r>
          </w:p>
        </w:tc>
        <w:tc>
          <w:tcPr>
            <w:tcW w:w="1252" w:type="dxa"/>
            <w:vAlign w:val="center"/>
          </w:tcPr>
          <w:p w14:paraId="3FEA8D5C" w14:textId="18216AAD"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15</w:t>
            </w:r>
          </w:p>
        </w:tc>
        <w:tc>
          <w:tcPr>
            <w:tcW w:w="1353" w:type="dxa"/>
            <w:vAlign w:val="center"/>
          </w:tcPr>
          <w:p w14:paraId="243DE5DB" w14:textId="6B536E4D"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1</w:t>
            </w:r>
          </w:p>
        </w:tc>
        <w:tc>
          <w:tcPr>
            <w:tcW w:w="1855" w:type="dxa"/>
            <w:vAlign w:val="center"/>
          </w:tcPr>
          <w:p w14:paraId="75A7B774" w14:textId="017406AD"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4</w:t>
            </w:r>
          </w:p>
        </w:tc>
      </w:tr>
      <w:tr w:rsidR="00CB2E7E" w:rsidRPr="00A42A15" w14:paraId="039A6908" w14:textId="77777777" w:rsidTr="00A32193">
        <w:tc>
          <w:tcPr>
            <w:tcW w:w="1374" w:type="dxa"/>
            <w:vAlign w:val="center"/>
          </w:tcPr>
          <w:p w14:paraId="34D7FAF0" w14:textId="778DF8AC"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Fall 2017</w:t>
            </w:r>
          </w:p>
        </w:tc>
        <w:tc>
          <w:tcPr>
            <w:tcW w:w="1349" w:type="dxa"/>
            <w:vAlign w:val="center"/>
          </w:tcPr>
          <w:p w14:paraId="5CC2A57F" w14:textId="6DBB53EE"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3253F0F3" w14:textId="139F78C9"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60</w:t>
            </w:r>
          </w:p>
        </w:tc>
        <w:tc>
          <w:tcPr>
            <w:tcW w:w="1252" w:type="dxa"/>
            <w:vAlign w:val="center"/>
          </w:tcPr>
          <w:p w14:paraId="54F3396D" w14:textId="1BD0826D"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25</w:t>
            </w:r>
          </w:p>
        </w:tc>
        <w:tc>
          <w:tcPr>
            <w:tcW w:w="1353" w:type="dxa"/>
            <w:vAlign w:val="center"/>
          </w:tcPr>
          <w:p w14:paraId="11EEFB98" w14:textId="0A1360F6"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5</w:t>
            </w:r>
          </w:p>
        </w:tc>
        <w:tc>
          <w:tcPr>
            <w:tcW w:w="1855" w:type="dxa"/>
            <w:vAlign w:val="center"/>
          </w:tcPr>
          <w:p w14:paraId="1836A667" w14:textId="3D28DE8A" w:rsidR="00CB2E7E" w:rsidRPr="00A42A15" w:rsidRDefault="00AB16BC"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4</w:t>
            </w:r>
          </w:p>
        </w:tc>
      </w:tr>
      <w:tr w:rsidR="00CB2E7E" w:rsidRPr="00A42A15" w14:paraId="04885C15" w14:textId="77777777" w:rsidTr="00A32193">
        <w:tc>
          <w:tcPr>
            <w:tcW w:w="1374" w:type="dxa"/>
            <w:vAlign w:val="center"/>
          </w:tcPr>
          <w:p w14:paraId="55BC0071" w14:textId="4A229712"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Spring 2018</w:t>
            </w:r>
          </w:p>
        </w:tc>
        <w:tc>
          <w:tcPr>
            <w:tcW w:w="1349" w:type="dxa"/>
            <w:vAlign w:val="center"/>
          </w:tcPr>
          <w:p w14:paraId="2869D328" w14:textId="28D32764"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7ED672C7" w14:textId="1E71F85A"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66</w:t>
            </w:r>
          </w:p>
        </w:tc>
        <w:tc>
          <w:tcPr>
            <w:tcW w:w="1252" w:type="dxa"/>
            <w:vAlign w:val="center"/>
          </w:tcPr>
          <w:p w14:paraId="4CF333FB" w14:textId="18A50138"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25</w:t>
            </w:r>
          </w:p>
        </w:tc>
        <w:tc>
          <w:tcPr>
            <w:tcW w:w="1353" w:type="dxa"/>
            <w:vAlign w:val="center"/>
          </w:tcPr>
          <w:p w14:paraId="291E0E22" w14:textId="7E1FE73C"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6</w:t>
            </w:r>
          </w:p>
        </w:tc>
        <w:tc>
          <w:tcPr>
            <w:tcW w:w="1855" w:type="dxa"/>
            <w:vAlign w:val="center"/>
          </w:tcPr>
          <w:p w14:paraId="0111020D" w14:textId="43245E1A" w:rsidR="00CB2E7E" w:rsidRPr="00A42A15" w:rsidRDefault="00AB16BC"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4</w:t>
            </w:r>
          </w:p>
        </w:tc>
      </w:tr>
      <w:tr w:rsidR="00CB2E7E" w:rsidRPr="00A42A15" w14:paraId="0E3E2E60" w14:textId="77777777" w:rsidTr="00A32193">
        <w:tc>
          <w:tcPr>
            <w:tcW w:w="1374" w:type="dxa"/>
            <w:vAlign w:val="center"/>
          </w:tcPr>
          <w:p w14:paraId="7E413D4F" w14:textId="11165473"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color w:val="000000"/>
              </w:rPr>
              <w:t>Summer 2018</w:t>
            </w:r>
          </w:p>
        </w:tc>
        <w:tc>
          <w:tcPr>
            <w:tcW w:w="1349" w:type="dxa"/>
            <w:vAlign w:val="center"/>
          </w:tcPr>
          <w:p w14:paraId="27DA076E" w14:textId="77728800"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0</w:t>
            </w:r>
          </w:p>
        </w:tc>
        <w:tc>
          <w:tcPr>
            <w:tcW w:w="1362" w:type="dxa"/>
            <w:vAlign w:val="center"/>
          </w:tcPr>
          <w:p w14:paraId="725BC79F" w14:textId="2A705818"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56</w:t>
            </w:r>
          </w:p>
        </w:tc>
        <w:tc>
          <w:tcPr>
            <w:tcW w:w="1252" w:type="dxa"/>
            <w:vAlign w:val="center"/>
          </w:tcPr>
          <w:p w14:paraId="72776BB7" w14:textId="7B8D7679"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12</w:t>
            </w:r>
          </w:p>
        </w:tc>
        <w:tc>
          <w:tcPr>
            <w:tcW w:w="1353" w:type="dxa"/>
            <w:vAlign w:val="center"/>
          </w:tcPr>
          <w:p w14:paraId="6A6C4337" w14:textId="0F000944"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8</w:t>
            </w:r>
          </w:p>
        </w:tc>
        <w:tc>
          <w:tcPr>
            <w:tcW w:w="1855" w:type="dxa"/>
            <w:vAlign w:val="center"/>
          </w:tcPr>
          <w:p w14:paraId="565B7902" w14:textId="1B6894BC"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color w:val="000000"/>
              </w:rPr>
              <w:t>2</w:t>
            </w:r>
          </w:p>
        </w:tc>
      </w:tr>
      <w:tr w:rsidR="00CB2E7E" w:rsidRPr="00A42A15" w14:paraId="44BD0827" w14:textId="77777777" w:rsidTr="00A32193">
        <w:tc>
          <w:tcPr>
            <w:tcW w:w="1374" w:type="dxa"/>
            <w:vAlign w:val="center"/>
          </w:tcPr>
          <w:p w14:paraId="0285DAE4" w14:textId="35F11603"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rPr>
              <w:t>Fall 2018</w:t>
            </w:r>
          </w:p>
        </w:tc>
        <w:tc>
          <w:tcPr>
            <w:tcW w:w="1349" w:type="dxa"/>
            <w:vAlign w:val="center"/>
          </w:tcPr>
          <w:p w14:paraId="642B1147" w14:textId="4D5ACCAF"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rPr>
              <w:t>0</w:t>
            </w:r>
          </w:p>
        </w:tc>
        <w:tc>
          <w:tcPr>
            <w:tcW w:w="1362" w:type="dxa"/>
            <w:vAlign w:val="center"/>
          </w:tcPr>
          <w:p w14:paraId="6342B054" w14:textId="40768B1E"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rPr>
              <w:t>66</w:t>
            </w:r>
          </w:p>
        </w:tc>
        <w:tc>
          <w:tcPr>
            <w:tcW w:w="1252" w:type="dxa"/>
            <w:vAlign w:val="center"/>
          </w:tcPr>
          <w:p w14:paraId="365E080F" w14:textId="585DF4AB"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rPr>
              <w:t>23</w:t>
            </w:r>
          </w:p>
        </w:tc>
        <w:tc>
          <w:tcPr>
            <w:tcW w:w="1353" w:type="dxa"/>
            <w:vAlign w:val="center"/>
          </w:tcPr>
          <w:p w14:paraId="5067EC9B" w14:textId="27803950"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rPr>
              <w:t>8</w:t>
            </w:r>
          </w:p>
        </w:tc>
        <w:tc>
          <w:tcPr>
            <w:tcW w:w="1855" w:type="dxa"/>
            <w:vAlign w:val="center"/>
          </w:tcPr>
          <w:p w14:paraId="3DECE940" w14:textId="7D2368D5" w:rsidR="00CB2E7E" w:rsidRPr="00A42A15" w:rsidRDefault="00CB2E7E" w:rsidP="00E50525">
            <w:pPr>
              <w:spacing w:after="0" w:line="240" w:lineRule="auto"/>
              <w:jc w:val="center"/>
              <w:rPr>
                <w:rFonts w:ascii="Times New Roman" w:hAnsi="Times New Roman" w:cs="Times New Roman"/>
              </w:rPr>
            </w:pPr>
            <w:r w:rsidRPr="00A42A15">
              <w:rPr>
                <w:rFonts w:ascii="Times New Roman" w:hAnsi="Times New Roman" w:cs="Times New Roman"/>
              </w:rPr>
              <w:t>2</w:t>
            </w:r>
          </w:p>
        </w:tc>
      </w:tr>
      <w:tr w:rsidR="00CB2E7E" w:rsidRPr="00A42A15" w14:paraId="77191A7D" w14:textId="77777777" w:rsidTr="00A32193">
        <w:tc>
          <w:tcPr>
            <w:tcW w:w="1374" w:type="dxa"/>
            <w:vAlign w:val="center"/>
          </w:tcPr>
          <w:p w14:paraId="22EE9A16" w14:textId="08D293C9"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rPr>
              <w:t>Spring 2019</w:t>
            </w:r>
          </w:p>
        </w:tc>
        <w:tc>
          <w:tcPr>
            <w:tcW w:w="1349" w:type="dxa"/>
            <w:vAlign w:val="center"/>
          </w:tcPr>
          <w:p w14:paraId="3699F045" w14:textId="79805884"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0</w:t>
            </w:r>
          </w:p>
        </w:tc>
        <w:tc>
          <w:tcPr>
            <w:tcW w:w="1362" w:type="dxa"/>
            <w:vAlign w:val="center"/>
          </w:tcPr>
          <w:p w14:paraId="4AA35C56" w14:textId="01B2B802"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72</w:t>
            </w:r>
          </w:p>
        </w:tc>
        <w:tc>
          <w:tcPr>
            <w:tcW w:w="1252" w:type="dxa"/>
            <w:vAlign w:val="center"/>
          </w:tcPr>
          <w:p w14:paraId="1CF7AFB4" w14:textId="6C17B324"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21</w:t>
            </w:r>
          </w:p>
        </w:tc>
        <w:tc>
          <w:tcPr>
            <w:tcW w:w="1353" w:type="dxa"/>
            <w:vAlign w:val="center"/>
          </w:tcPr>
          <w:p w14:paraId="651C43C3" w14:textId="131CFF39"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11</w:t>
            </w:r>
          </w:p>
        </w:tc>
        <w:tc>
          <w:tcPr>
            <w:tcW w:w="1855" w:type="dxa"/>
            <w:vAlign w:val="center"/>
          </w:tcPr>
          <w:p w14:paraId="08607299" w14:textId="5A77DA83"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2</w:t>
            </w:r>
          </w:p>
        </w:tc>
      </w:tr>
      <w:tr w:rsidR="00CB2E7E" w:rsidRPr="00A42A15" w14:paraId="3A174B36" w14:textId="77777777" w:rsidTr="00A32193">
        <w:tc>
          <w:tcPr>
            <w:tcW w:w="1374" w:type="dxa"/>
            <w:vAlign w:val="center"/>
          </w:tcPr>
          <w:p w14:paraId="191A357C" w14:textId="076FC9DE"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rPr>
              <w:t>Summer 2019</w:t>
            </w:r>
          </w:p>
        </w:tc>
        <w:tc>
          <w:tcPr>
            <w:tcW w:w="1349" w:type="dxa"/>
            <w:vAlign w:val="center"/>
          </w:tcPr>
          <w:p w14:paraId="1D828421" w14:textId="4BD0A75B"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0</w:t>
            </w:r>
          </w:p>
        </w:tc>
        <w:tc>
          <w:tcPr>
            <w:tcW w:w="1362" w:type="dxa"/>
            <w:vAlign w:val="center"/>
          </w:tcPr>
          <w:p w14:paraId="3313B4AA" w14:textId="7DF8D1FA"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62</w:t>
            </w:r>
          </w:p>
        </w:tc>
        <w:tc>
          <w:tcPr>
            <w:tcW w:w="1252" w:type="dxa"/>
            <w:vAlign w:val="center"/>
          </w:tcPr>
          <w:p w14:paraId="19260C9F" w14:textId="021DDE4B"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12</w:t>
            </w:r>
          </w:p>
        </w:tc>
        <w:tc>
          <w:tcPr>
            <w:tcW w:w="1353" w:type="dxa"/>
            <w:vAlign w:val="center"/>
          </w:tcPr>
          <w:p w14:paraId="63BEEC87" w14:textId="5B43CCD1"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10</w:t>
            </w:r>
          </w:p>
        </w:tc>
        <w:tc>
          <w:tcPr>
            <w:tcW w:w="1855" w:type="dxa"/>
            <w:vAlign w:val="center"/>
          </w:tcPr>
          <w:p w14:paraId="2E84DCCC" w14:textId="53155267"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4</w:t>
            </w:r>
          </w:p>
        </w:tc>
      </w:tr>
      <w:tr w:rsidR="00CB2E7E" w:rsidRPr="00A42A15" w14:paraId="0513F750" w14:textId="77777777" w:rsidTr="00A32193">
        <w:tc>
          <w:tcPr>
            <w:tcW w:w="1374" w:type="dxa"/>
            <w:vAlign w:val="center"/>
          </w:tcPr>
          <w:p w14:paraId="0BFBDC6B" w14:textId="705A9368"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rPr>
              <w:t>Fall 2019</w:t>
            </w:r>
          </w:p>
        </w:tc>
        <w:tc>
          <w:tcPr>
            <w:tcW w:w="1349" w:type="dxa"/>
            <w:vAlign w:val="center"/>
          </w:tcPr>
          <w:p w14:paraId="5843AA85" w14:textId="1EB11B03"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0</w:t>
            </w:r>
          </w:p>
        </w:tc>
        <w:tc>
          <w:tcPr>
            <w:tcW w:w="1362" w:type="dxa"/>
            <w:vAlign w:val="center"/>
          </w:tcPr>
          <w:p w14:paraId="36F18C41" w14:textId="51D0563D"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76</w:t>
            </w:r>
          </w:p>
        </w:tc>
        <w:tc>
          <w:tcPr>
            <w:tcW w:w="1252" w:type="dxa"/>
            <w:vAlign w:val="center"/>
          </w:tcPr>
          <w:p w14:paraId="38052338" w14:textId="6C4E17FB"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22</w:t>
            </w:r>
          </w:p>
        </w:tc>
        <w:tc>
          <w:tcPr>
            <w:tcW w:w="1353" w:type="dxa"/>
            <w:vAlign w:val="center"/>
          </w:tcPr>
          <w:p w14:paraId="3824F422" w14:textId="54D93099"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12</w:t>
            </w:r>
          </w:p>
        </w:tc>
        <w:tc>
          <w:tcPr>
            <w:tcW w:w="1855" w:type="dxa"/>
            <w:vAlign w:val="center"/>
          </w:tcPr>
          <w:p w14:paraId="7CB69F8E" w14:textId="2B2A2ECE" w:rsidR="00CB2E7E" w:rsidRPr="00A42A15" w:rsidRDefault="00A50F42" w:rsidP="00E50525">
            <w:pPr>
              <w:spacing w:after="0" w:line="240" w:lineRule="auto"/>
              <w:jc w:val="center"/>
              <w:rPr>
                <w:rFonts w:ascii="Times New Roman" w:hAnsi="Times New Roman" w:cs="Times New Roman"/>
              </w:rPr>
            </w:pPr>
            <w:r w:rsidRPr="00A42A15">
              <w:rPr>
                <w:rFonts w:ascii="Times New Roman" w:hAnsi="Times New Roman" w:cs="Times New Roman"/>
              </w:rPr>
              <w:t>1</w:t>
            </w:r>
          </w:p>
        </w:tc>
      </w:tr>
      <w:tr w:rsidR="00CB2E7E" w:rsidRPr="00A42A15" w14:paraId="4BB046F3" w14:textId="77777777" w:rsidTr="00A32193">
        <w:tc>
          <w:tcPr>
            <w:tcW w:w="1374" w:type="dxa"/>
            <w:vAlign w:val="center"/>
          </w:tcPr>
          <w:p w14:paraId="6A035AC1" w14:textId="24CD0DAE"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rPr>
              <w:t>Spring 2020</w:t>
            </w:r>
          </w:p>
        </w:tc>
        <w:tc>
          <w:tcPr>
            <w:tcW w:w="1349" w:type="dxa"/>
            <w:vAlign w:val="center"/>
          </w:tcPr>
          <w:p w14:paraId="1DBD7BC7" w14:textId="0B660A79"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0</w:t>
            </w:r>
          </w:p>
        </w:tc>
        <w:tc>
          <w:tcPr>
            <w:tcW w:w="1362" w:type="dxa"/>
            <w:vAlign w:val="center"/>
          </w:tcPr>
          <w:p w14:paraId="094236B8" w14:textId="40C3E008"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80</w:t>
            </w:r>
          </w:p>
        </w:tc>
        <w:tc>
          <w:tcPr>
            <w:tcW w:w="1252" w:type="dxa"/>
            <w:vAlign w:val="center"/>
          </w:tcPr>
          <w:p w14:paraId="66E72DB4" w14:textId="192B8499"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22</w:t>
            </w:r>
          </w:p>
        </w:tc>
        <w:tc>
          <w:tcPr>
            <w:tcW w:w="1353" w:type="dxa"/>
            <w:vAlign w:val="center"/>
          </w:tcPr>
          <w:p w14:paraId="4DD150B8" w14:textId="239E8E6E"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12</w:t>
            </w:r>
          </w:p>
        </w:tc>
        <w:tc>
          <w:tcPr>
            <w:tcW w:w="1855" w:type="dxa"/>
            <w:vAlign w:val="center"/>
          </w:tcPr>
          <w:p w14:paraId="7212861F" w14:textId="14CAD27A"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1</w:t>
            </w:r>
          </w:p>
        </w:tc>
      </w:tr>
      <w:tr w:rsidR="00CB2E7E" w:rsidRPr="00A42A15" w14:paraId="5720C207" w14:textId="77777777" w:rsidTr="00A32193">
        <w:tc>
          <w:tcPr>
            <w:tcW w:w="1374" w:type="dxa"/>
            <w:vAlign w:val="center"/>
          </w:tcPr>
          <w:p w14:paraId="449EC380" w14:textId="7B4AF6D5" w:rsidR="00CB2E7E" w:rsidRPr="00A42A15" w:rsidRDefault="00CB2E7E" w:rsidP="00E50525">
            <w:pPr>
              <w:spacing w:after="0" w:line="240" w:lineRule="auto"/>
              <w:rPr>
                <w:rFonts w:ascii="Times New Roman" w:hAnsi="Times New Roman" w:cs="Times New Roman"/>
              </w:rPr>
            </w:pPr>
            <w:r w:rsidRPr="00A42A15">
              <w:rPr>
                <w:rFonts w:ascii="Times New Roman" w:hAnsi="Times New Roman" w:cs="Times New Roman"/>
              </w:rPr>
              <w:t>Summer 2020</w:t>
            </w:r>
          </w:p>
        </w:tc>
        <w:tc>
          <w:tcPr>
            <w:tcW w:w="1349" w:type="dxa"/>
            <w:vAlign w:val="center"/>
          </w:tcPr>
          <w:p w14:paraId="19BEDC92" w14:textId="64AC8944" w:rsidR="00CB2E7E" w:rsidRPr="00A42A15" w:rsidRDefault="006849DD" w:rsidP="00E50525">
            <w:pPr>
              <w:spacing w:after="0" w:line="240" w:lineRule="auto"/>
              <w:jc w:val="center"/>
              <w:rPr>
                <w:rFonts w:ascii="Times New Roman" w:hAnsi="Times New Roman" w:cs="Times New Roman"/>
              </w:rPr>
            </w:pPr>
            <w:r w:rsidRPr="00A42A15">
              <w:rPr>
                <w:rFonts w:ascii="Times New Roman" w:hAnsi="Times New Roman" w:cs="Times New Roman"/>
              </w:rPr>
              <w:t>0</w:t>
            </w:r>
          </w:p>
        </w:tc>
        <w:tc>
          <w:tcPr>
            <w:tcW w:w="1362" w:type="dxa"/>
            <w:vAlign w:val="center"/>
          </w:tcPr>
          <w:p w14:paraId="4A208310" w14:textId="4F393AC9"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63</w:t>
            </w:r>
          </w:p>
        </w:tc>
        <w:tc>
          <w:tcPr>
            <w:tcW w:w="1252" w:type="dxa"/>
            <w:vAlign w:val="center"/>
          </w:tcPr>
          <w:p w14:paraId="2410F8CD" w14:textId="16A1F158"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16</w:t>
            </w:r>
          </w:p>
        </w:tc>
        <w:tc>
          <w:tcPr>
            <w:tcW w:w="1353" w:type="dxa"/>
            <w:vAlign w:val="center"/>
          </w:tcPr>
          <w:p w14:paraId="3A258513" w14:textId="5DB47769"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9</w:t>
            </w:r>
          </w:p>
        </w:tc>
        <w:tc>
          <w:tcPr>
            <w:tcW w:w="1855" w:type="dxa"/>
            <w:vAlign w:val="center"/>
          </w:tcPr>
          <w:p w14:paraId="4C6EF102" w14:textId="6F55EB0E" w:rsidR="00CB2E7E" w:rsidRPr="00A42A15" w:rsidRDefault="00072356" w:rsidP="00E50525">
            <w:pPr>
              <w:spacing w:after="0" w:line="240" w:lineRule="auto"/>
              <w:jc w:val="center"/>
              <w:rPr>
                <w:rFonts w:ascii="Times New Roman" w:hAnsi="Times New Roman" w:cs="Times New Roman"/>
              </w:rPr>
            </w:pPr>
            <w:r w:rsidRPr="00A42A15">
              <w:rPr>
                <w:rFonts w:ascii="Times New Roman" w:hAnsi="Times New Roman" w:cs="Times New Roman"/>
              </w:rPr>
              <w:t>7</w:t>
            </w:r>
          </w:p>
        </w:tc>
      </w:tr>
    </w:tbl>
    <w:p w14:paraId="1D8ED4AD" w14:textId="1BAF5E98" w:rsidR="009449BF" w:rsidRPr="00A42A15" w:rsidRDefault="009449BF" w:rsidP="009449BF">
      <w:pPr>
        <w:rPr>
          <w:rFonts w:ascii="Times New Roman" w:hAnsi="Times New Roman" w:cs="Times New Roman"/>
          <w:sz w:val="24"/>
          <w:szCs w:val="24"/>
        </w:rPr>
      </w:pPr>
      <w:r w:rsidRPr="00A42A15">
        <w:rPr>
          <w:rFonts w:ascii="Times New Roman" w:hAnsi="Times New Roman" w:cs="Times New Roman"/>
          <w:sz w:val="24"/>
          <w:szCs w:val="24"/>
        </w:rPr>
        <w:t>AGYC: Agency Counseling; CMHC: Clinical Mental Health Counseling; SC: School Counseling; MCFC: Marriage Couples and Family Counseling; MCFC Cert.: MCFC Certificate</w:t>
      </w:r>
    </w:p>
    <w:p w14:paraId="4E9C315E" w14:textId="298DCB02" w:rsidR="00D662BF" w:rsidRPr="00A42A15" w:rsidRDefault="009449BF" w:rsidP="00172C95">
      <w:pPr>
        <w:rPr>
          <w:rFonts w:ascii="Times New Roman" w:hAnsi="Times New Roman" w:cs="Times New Roman"/>
          <w:sz w:val="24"/>
          <w:szCs w:val="24"/>
        </w:rPr>
      </w:pPr>
      <w:r w:rsidRPr="00A42A15">
        <w:rPr>
          <w:rFonts w:ascii="Times New Roman" w:hAnsi="Times New Roman" w:cs="Times New Roman"/>
          <w:sz w:val="24"/>
          <w:szCs w:val="24"/>
        </w:rPr>
        <w:lastRenderedPageBreak/>
        <w:t>NOTE: AGYC was replaced with CMHC. The MCFC and MCFC Cert programs began Fall 2016.</w:t>
      </w:r>
    </w:p>
    <w:p w14:paraId="0E52E1B5" w14:textId="35ADE1EF" w:rsidR="00E6200B" w:rsidRPr="00A42A15" w:rsidRDefault="00E6200B" w:rsidP="00E6200B">
      <w:pPr>
        <w:spacing w:after="0" w:line="240" w:lineRule="auto"/>
        <w:jc w:val="center"/>
        <w:rPr>
          <w:rFonts w:ascii="Times New Roman" w:hAnsi="Times New Roman" w:cs="Times New Roman"/>
          <w:b/>
          <w:sz w:val="24"/>
          <w:szCs w:val="24"/>
        </w:rPr>
      </w:pPr>
      <w:r w:rsidRPr="00A42A15">
        <w:rPr>
          <w:rFonts w:ascii="Times New Roman" w:hAnsi="Times New Roman" w:cs="Times New Roman"/>
          <w:b/>
          <w:sz w:val="24"/>
          <w:szCs w:val="24"/>
        </w:rPr>
        <w:t>NCE Examination Results 2015-2019</w:t>
      </w:r>
    </w:p>
    <w:p w14:paraId="0C481156" w14:textId="43CDDAA5" w:rsidR="00D662BF" w:rsidRPr="00A42A15" w:rsidRDefault="00D662BF" w:rsidP="00172C95">
      <w:pPr>
        <w:rPr>
          <w:rFonts w:ascii="Times New Roman" w:hAnsi="Times New Roman" w:cs="Times New Roman"/>
          <w:sz w:val="24"/>
          <w:szCs w:val="24"/>
        </w:rPr>
      </w:pPr>
    </w:p>
    <w:tbl>
      <w:tblPr>
        <w:tblW w:w="729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70"/>
        <w:gridCol w:w="1800"/>
        <w:gridCol w:w="1800"/>
        <w:gridCol w:w="1620"/>
      </w:tblGrid>
      <w:tr w:rsidR="00E6200B" w:rsidRPr="00A42A15" w14:paraId="512F9374" w14:textId="77777777" w:rsidTr="00E6200B">
        <w:trPr>
          <w:jc w:val="center"/>
        </w:trPr>
        <w:tc>
          <w:tcPr>
            <w:tcW w:w="2070" w:type="dxa"/>
            <w:tcBorders>
              <w:top w:val="single" w:sz="6" w:space="0" w:color="DDDDDD"/>
            </w:tcBorders>
            <w:shd w:val="clear" w:color="auto" w:fill="F9F9F9"/>
            <w:tcMar>
              <w:top w:w="120" w:type="dxa"/>
              <w:left w:w="120" w:type="dxa"/>
              <w:bottom w:w="120" w:type="dxa"/>
              <w:right w:w="120" w:type="dxa"/>
            </w:tcMar>
            <w:hideMark/>
          </w:tcPr>
          <w:p w14:paraId="67E43191"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b/>
                <w:bCs/>
                <w:color w:val="000000"/>
                <w:sz w:val="24"/>
                <w:szCs w:val="24"/>
              </w:rPr>
              <w:t>Date of NCE</w:t>
            </w:r>
          </w:p>
        </w:tc>
        <w:tc>
          <w:tcPr>
            <w:tcW w:w="1800" w:type="dxa"/>
            <w:tcBorders>
              <w:top w:val="single" w:sz="6" w:space="0" w:color="DDDDDD"/>
            </w:tcBorders>
            <w:shd w:val="clear" w:color="auto" w:fill="F9F9F9"/>
            <w:tcMar>
              <w:top w:w="120" w:type="dxa"/>
              <w:left w:w="120" w:type="dxa"/>
              <w:bottom w:w="120" w:type="dxa"/>
              <w:right w:w="120" w:type="dxa"/>
            </w:tcMar>
            <w:hideMark/>
          </w:tcPr>
          <w:p w14:paraId="384E7945"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b/>
                <w:bCs/>
                <w:color w:val="000000"/>
                <w:sz w:val="24"/>
                <w:szCs w:val="24"/>
              </w:rPr>
              <w:t>Number Tested</w:t>
            </w:r>
          </w:p>
        </w:tc>
        <w:tc>
          <w:tcPr>
            <w:tcW w:w="1800" w:type="dxa"/>
            <w:tcBorders>
              <w:top w:val="single" w:sz="6" w:space="0" w:color="DDDDDD"/>
            </w:tcBorders>
            <w:shd w:val="clear" w:color="auto" w:fill="F9F9F9"/>
            <w:tcMar>
              <w:top w:w="120" w:type="dxa"/>
              <w:left w:w="120" w:type="dxa"/>
              <w:bottom w:w="120" w:type="dxa"/>
              <w:right w:w="120" w:type="dxa"/>
            </w:tcMar>
            <w:hideMark/>
          </w:tcPr>
          <w:p w14:paraId="358F0DA1"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b/>
                <w:bCs/>
                <w:color w:val="000000"/>
                <w:sz w:val="24"/>
                <w:szCs w:val="24"/>
              </w:rPr>
              <w:t>Number Passed</w:t>
            </w:r>
          </w:p>
        </w:tc>
        <w:tc>
          <w:tcPr>
            <w:tcW w:w="1620" w:type="dxa"/>
            <w:tcBorders>
              <w:top w:val="single" w:sz="6" w:space="0" w:color="DDDDDD"/>
            </w:tcBorders>
            <w:shd w:val="clear" w:color="auto" w:fill="F9F9F9"/>
            <w:tcMar>
              <w:top w:w="120" w:type="dxa"/>
              <w:left w:w="120" w:type="dxa"/>
              <w:bottom w:w="120" w:type="dxa"/>
              <w:right w:w="120" w:type="dxa"/>
            </w:tcMar>
            <w:hideMark/>
          </w:tcPr>
          <w:p w14:paraId="4C0AB0DB"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b/>
                <w:bCs/>
                <w:color w:val="000000"/>
                <w:sz w:val="24"/>
                <w:szCs w:val="24"/>
              </w:rPr>
              <w:t>Passage Rate</w:t>
            </w:r>
          </w:p>
        </w:tc>
      </w:tr>
      <w:tr w:rsidR="00E6200B" w:rsidRPr="00A42A15" w14:paraId="6B223CA3" w14:textId="77777777" w:rsidTr="00E6200B">
        <w:trPr>
          <w:trHeight w:val="504"/>
          <w:jc w:val="center"/>
        </w:trPr>
        <w:tc>
          <w:tcPr>
            <w:tcW w:w="2070" w:type="dxa"/>
            <w:tcBorders>
              <w:top w:val="single" w:sz="6" w:space="0" w:color="DDDDDD"/>
            </w:tcBorders>
            <w:shd w:val="clear" w:color="auto" w:fill="FFFFFF"/>
            <w:tcMar>
              <w:top w:w="120" w:type="dxa"/>
              <w:left w:w="120" w:type="dxa"/>
              <w:bottom w:w="120" w:type="dxa"/>
              <w:right w:w="120" w:type="dxa"/>
            </w:tcMar>
            <w:hideMark/>
          </w:tcPr>
          <w:p w14:paraId="24AA1C9C"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October 17, 2015</w:t>
            </w:r>
          </w:p>
        </w:tc>
        <w:tc>
          <w:tcPr>
            <w:tcW w:w="1800" w:type="dxa"/>
            <w:tcBorders>
              <w:top w:val="single" w:sz="6" w:space="0" w:color="DDDDDD"/>
            </w:tcBorders>
            <w:shd w:val="clear" w:color="auto" w:fill="FFFFFF"/>
            <w:tcMar>
              <w:top w:w="120" w:type="dxa"/>
              <w:left w:w="120" w:type="dxa"/>
              <w:bottom w:w="120" w:type="dxa"/>
              <w:right w:w="120" w:type="dxa"/>
            </w:tcMar>
            <w:hideMark/>
          </w:tcPr>
          <w:p w14:paraId="2D185DD2"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12</w:t>
            </w:r>
          </w:p>
        </w:tc>
        <w:tc>
          <w:tcPr>
            <w:tcW w:w="1800" w:type="dxa"/>
            <w:tcBorders>
              <w:top w:val="single" w:sz="6" w:space="0" w:color="DDDDDD"/>
            </w:tcBorders>
            <w:shd w:val="clear" w:color="auto" w:fill="FFFFFF"/>
            <w:tcMar>
              <w:top w:w="120" w:type="dxa"/>
              <w:left w:w="120" w:type="dxa"/>
              <w:bottom w:w="120" w:type="dxa"/>
              <w:right w:w="120" w:type="dxa"/>
            </w:tcMar>
            <w:hideMark/>
          </w:tcPr>
          <w:p w14:paraId="1AD41044"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12</w:t>
            </w:r>
          </w:p>
        </w:tc>
        <w:tc>
          <w:tcPr>
            <w:tcW w:w="1620" w:type="dxa"/>
            <w:tcBorders>
              <w:top w:val="single" w:sz="6" w:space="0" w:color="DDDDDD"/>
            </w:tcBorders>
            <w:shd w:val="clear" w:color="auto" w:fill="FFFFFF"/>
            <w:tcMar>
              <w:top w:w="120" w:type="dxa"/>
              <w:left w:w="120" w:type="dxa"/>
              <w:bottom w:w="120" w:type="dxa"/>
              <w:right w:w="120" w:type="dxa"/>
            </w:tcMar>
            <w:hideMark/>
          </w:tcPr>
          <w:p w14:paraId="5480C56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100%</w:t>
            </w:r>
          </w:p>
        </w:tc>
      </w:tr>
      <w:tr w:rsidR="00E6200B" w:rsidRPr="00A42A15" w14:paraId="5AA0F477" w14:textId="77777777" w:rsidTr="00E6200B">
        <w:trPr>
          <w:jc w:val="center"/>
        </w:trPr>
        <w:tc>
          <w:tcPr>
            <w:tcW w:w="2070" w:type="dxa"/>
            <w:tcBorders>
              <w:top w:val="single" w:sz="6" w:space="0" w:color="DDDDDD"/>
            </w:tcBorders>
            <w:shd w:val="clear" w:color="auto" w:fill="F9F9F9"/>
            <w:tcMar>
              <w:top w:w="120" w:type="dxa"/>
              <w:left w:w="120" w:type="dxa"/>
              <w:bottom w:w="120" w:type="dxa"/>
              <w:right w:w="120" w:type="dxa"/>
            </w:tcMar>
            <w:hideMark/>
          </w:tcPr>
          <w:p w14:paraId="1B7D1DD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April 16, 2016</w:t>
            </w:r>
          </w:p>
        </w:tc>
        <w:tc>
          <w:tcPr>
            <w:tcW w:w="1800" w:type="dxa"/>
            <w:tcBorders>
              <w:top w:val="single" w:sz="6" w:space="0" w:color="DDDDDD"/>
            </w:tcBorders>
            <w:shd w:val="clear" w:color="auto" w:fill="F9F9F9"/>
            <w:tcMar>
              <w:top w:w="120" w:type="dxa"/>
              <w:left w:w="120" w:type="dxa"/>
              <w:bottom w:w="120" w:type="dxa"/>
              <w:right w:w="120" w:type="dxa"/>
            </w:tcMar>
            <w:hideMark/>
          </w:tcPr>
          <w:p w14:paraId="29EEBF36"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11</w:t>
            </w:r>
          </w:p>
        </w:tc>
        <w:tc>
          <w:tcPr>
            <w:tcW w:w="1800" w:type="dxa"/>
            <w:tcBorders>
              <w:top w:val="single" w:sz="6" w:space="0" w:color="DDDDDD"/>
            </w:tcBorders>
            <w:shd w:val="clear" w:color="auto" w:fill="F9F9F9"/>
            <w:tcMar>
              <w:top w:w="120" w:type="dxa"/>
              <w:left w:w="120" w:type="dxa"/>
              <w:bottom w:w="120" w:type="dxa"/>
              <w:right w:w="120" w:type="dxa"/>
            </w:tcMar>
            <w:hideMark/>
          </w:tcPr>
          <w:p w14:paraId="472A48FE"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9</w:t>
            </w:r>
          </w:p>
        </w:tc>
        <w:tc>
          <w:tcPr>
            <w:tcW w:w="1620" w:type="dxa"/>
            <w:tcBorders>
              <w:top w:val="single" w:sz="6" w:space="0" w:color="DDDDDD"/>
            </w:tcBorders>
            <w:shd w:val="clear" w:color="auto" w:fill="F9F9F9"/>
            <w:tcMar>
              <w:top w:w="120" w:type="dxa"/>
              <w:left w:w="120" w:type="dxa"/>
              <w:bottom w:w="120" w:type="dxa"/>
              <w:right w:w="120" w:type="dxa"/>
            </w:tcMar>
            <w:hideMark/>
          </w:tcPr>
          <w:p w14:paraId="3C3F11F7"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82%</w:t>
            </w:r>
          </w:p>
        </w:tc>
      </w:tr>
      <w:tr w:rsidR="00E6200B" w:rsidRPr="00A42A15" w14:paraId="3827B08D" w14:textId="77777777" w:rsidTr="00E6200B">
        <w:trPr>
          <w:jc w:val="center"/>
        </w:trPr>
        <w:tc>
          <w:tcPr>
            <w:tcW w:w="2070" w:type="dxa"/>
            <w:tcBorders>
              <w:top w:val="single" w:sz="6" w:space="0" w:color="DDDDDD"/>
            </w:tcBorders>
            <w:shd w:val="clear" w:color="auto" w:fill="FFFFFF"/>
            <w:tcMar>
              <w:top w:w="120" w:type="dxa"/>
              <w:left w:w="120" w:type="dxa"/>
              <w:bottom w:w="120" w:type="dxa"/>
              <w:right w:w="120" w:type="dxa"/>
            </w:tcMar>
            <w:hideMark/>
          </w:tcPr>
          <w:p w14:paraId="6BCF5ADC"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October 2016</w:t>
            </w:r>
          </w:p>
        </w:tc>
        <w:tc>
          <w:tcPr>
            <w:tcW w:w="1800" w:type="dxa"/>
            <w:tcBorders>
              <w:top w:val="single" w:sz="6" w:space="0" w:color="DDDDDD"/>
            </w:tcBorders>
            <w:shd w:val="clear" w:color="auto" w:fill="FFFFFF"/>
            <w:tcMar>
              <w:top w:w="120" w:type="dxa"/>
              <w:left w:w="120" w:type="dxa"/>
              <w:bottom w:w="120" w:type="dxa"/>
              <w:right w:w="120" w:type="dxa"/>
            </w:tcMar>
            <w:hideMark/>
          </w:tcPr>
          <w:p w14:paraId="0CDD9DC4"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11</w:t>
            </w:r>
          </w:p>
        </w:tc>
        <w:tc>
          <w:tcPr>
            <w:tcW w:w="1800" w:type="dxa"/>
            <w:tcBorders>
              <w:top w:val="single" w:sz="6" w:space="0" w:color="DDDDDD"/>
            </w:tcBorders>
            <w:shd w:val="clear" w:color="auto" w:fill="FFFFFF"/>
            <w:tcMar>
              <w:top w:w="120" w:type="dxa"/>
              <w:left w:w="120" w:type="dxa"/>
              <w:bottom w:w="120" w:type="dxa"/>
              <w:right w:w="120" w:type="dxa"/>
            </w:tcMar>
            <w:hideMark/>
          </w:tcPr>
          <w:p w14:paraId="2CFA14C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9</w:t>
            </w:r>
          </w:p>
        </w:tc>
        <w:tc>
          <w:tcPr>
            <w:tcW w:w="1620" w:type="dxa"/>
            <w:tcBorders>
              <w:top w:val="single" w:sz="6" w:space="0" w:color="DDDDDD"/>
            </w:tcBorders>
            <w:shd w:val="clear" w:color="auto" w:fill="FFFFFF"/>
            <w:tcMar>
              <w:top w:w="120" w:type="dxa"/>
              <w:left w:w="120" w:type="dxa"/>
              <w:bottom w:w="120" w:type="dxa"/>
              <w:right w:w="120" w:type="dxa"/>
            </w:tcMar>
            <w:hideMark/>
          </w:tcPr>
          <w:p w14:paraId="10FC3FC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82%</w:t>
            </w:r>
          </w:p>
        </w:tc>
      </w:tr>
      <w:tr w:rsidR="00E6200B" w:rsidRPr="00A42A15" w14:paraId="745CFFC0" w14:textId="77777777" w:rsidTr="00E6200B">
        <w:trPr>
          <w:jc w:val="center"/>
        </w:trPr>
        <w:tc>
          <w:tcPr>
            <w:tcW w:w="2070" w:type="dxa"/>
            <w:tcBorders>
              <w:top w:val="single" w:sz="6" w:space="0" w:color="DDDDDD"/>
            </w:tcBorders>
            <w:shd w:val="clear" w:color="auto" w:fill="F9F9F9"/>
            <w:tcMar>
              <w:top w:w="120" w:type="dxa"/>
              <w:left w:w="120" w:type="dxa"/>
              <w:bottom w:w="120" w:type="dxa"/>
              <w:right w:w="120" w:type="dxa"/>
            </w:tcMar>
            <w:hideMark/>
          </w:tcPr>
          <w:p w14:paraId="65ACE358"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April 22, 2017</w:t>
            </w:r>
          </w:p>
        </w:tc>
        <w:tc>
          <w:tcPr>
            <w:tcW w:w="1800" w:type="dxa"/>
            <w:tcBorders>
              <w:top w:val="single" w:sz="6" w:space="0" w:color="DDDDDD"/>
            </w:tcBorders>
            <w:shd w:val="clear" w:color="auto" w:fill="F9F9F9"/>
            <w:tcMar>
              <w:top w:w="120" w:type="dxa"/>
              <w:left w:w="120" w:type="dxa"/>
              <w:bottom w:w="120" w:type="dxa"/>
              <w:right w:w="120" w:type="dxa"/>
            </w:tcMar>
            <w:hideMark/>
          </w:tcPr>
          <w:p w14:paraId="349A83CE"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w:t>
            </w:r>
          </w:p>
        </w:tc>
        <w:tc>
          <w:tcPr>
            <w:tcW w:w="1800" w:type="dxa"/>
            <w:tcBorders>
              <w:top w:val="single" w:sz="6" w:space="0" w:color="DDDDDD"/>
            </w:tcBorders>
            <w:shd w:val="clear" w:color="auto" w:fill="F9F9F9"/>
            <w:tcMar>
              <w:top w:w="120" w:type="dxa"/>
              <w:left w:w="120" w:type="dxa"/>
              <w:bottom w:w="120" w:type="dxa"/>
              <w:right w:w="120" w:type="dxa"/>
            </w:tcMar>
            <w:hideMark/>
          </w:tcPr>
          <w:p w14:paraId="26BF51B3"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w:t>
            </w:r>
          </w:p>
        </w:tc>
        <w:tc>
          <w:tcPr>
            <w:tcW w:w="1620" w:type="dxa"/>
            <w:tcBorders>
              <w:top w:val="single" w:sz="6" w:space="0" w:color="DDDDDD"/>
            </w:tcBorders>
            <w:shd w:val="clear" w:color="auto" w:fill="F9F9F9"/>
            <w:tcMar>
              <w:top w:w="120" w:type="dxa"/>
              <w:left w:w="120" w:type="dxa"/>
              <w:bottom w:w="120" w:type="dxa"/>
              <w:right w:w="120" w:type="dxa"/>
            </w:tcMar>
            <w:hideMark/>
          </w:tcPr>
          <w:p w14:paraId="14AE0E08"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100%</w:t>
            </w:r>
          </w:p>
        </w:tc>
      </w:tr>
      <w:tr w:rsidR="00E6200B" w:rsidRPr="00A42A15" w14:paraId="0AB1668B" w14:textId="77777777" w:rsidTr="00E6200B">
        <w:trPr>
          <w:jc w:val="center"/>
        </w:trPr>
        <w:tc>
          <w:tcPr>
            <w:tcW w:w="2070" w:type="dxa"/>
            <w:tcBorders>
              <w:top w:val="single" w:sz="6" w:space="0" w:color="DDDDDD"/>
            </w:tcBorders>
            <w:shd w:val="clear" w:color="auto" w:fill="FFFFFF"/>
            <w:tcMar>
              <w:top w:w="120" w:type="dxa"/>
              <w:left w:w="120" w:type="dxa"/>
              <w:bottom w:w="120" w:type="dxa"/>
              <w:right w:w="120" w:type="dxa"/>
            </w:tcMar>
            <w:hideMark/>
          </w:tcPr>
          <w:p w14:paraId="2ECC6775"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October 2017</w:t>
            </w:r>
          </w:p>
        </w:tc>
        <w:tc>
          <w:tcPr>
            <w:tcW w:w="1800" w:type="dxa"/>
            <w:tcBorders>
              <w:top w:val="single" w:sz="6" w:space="0" w:color="DDDDDD"/>
            </w:tcBorders>
            <w:shd w:val="clear" w:color="auto" w:fill="FFFFFF"/>
            <w:tcMar>
              <w:top w:w="120" w:type="dxa"/>
              <w:left w:w="120" w:type="dxa"/>
              <w:bottom w:w="120" w:type="dxa"/>
              <w:right w:w="120" w:type="dxa"/>
            </w:tcMar>
            <w:hideMark/>
          </w:tcPr>
          <w:p w14:paraId="72A9ACF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3</w:t>
            </w:r>
          </w:p>
        </w:tc>
        <w:tc>
          <w:tcPr>
            <w:tcW w:w="1800" w:type="dxa"/>
            <w:tcBorders>
              <w:top w:val="single" w:sz="6" w:space="0" w:color="DDDDDD"/>
            </w:tcBorders>
            <w:shd w:val="clear" w:color="auto" w:fill="FFFFFF"/>
            <w:tcMar>
              <w:top w:w="120" w:type="dxa"/>
              <w:left w:w="120" w:type="dxa"/>
              <w:bottom w:w="120" w:type="dxa"/>
              <w:right w:w="120" w:type="dxa"/>
            </w:tcMar>
            <w:hideMark/>
          </w:tcPr>
          <w:p w14:paraId="725DB282"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3</w:t>
            </w:r>
          </w:p>
        </w:tc>
        <w:tc>
          <w:tcPr>
            <w:tcW w:w="1620" w:type="dxa"/>
            <w:tcBorders>
              <w:top w:val="single" w:sz="6" w:space="0" w:color="DDDDDD"/>
            </w:tcBorders>
            <w:shd w:val="clear" w:color="auto" w:fill="FFFFFF"/>
            <w:tcMar>
              <w:top w:w="120" w:type="dxa"/>
              <w:left w:w="120" w:type="dxa"/>
              <w:bottom w:w="120" w:type="dxa"/>
              <w:right w:w="120" w:type="dxa"/>
            </w:tcMar>
            <w:hideMark/>
          </w:tcPr>
          <w:p w14:paraId="0F960E5B"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100%</w:t>
            </w:r>
          </w:p>
        </w:tc>
      </w:tr>
      <w:tr w:rsidR="00E6200B" w:rsidRPr="00A42A15" w14:paraId="7D7B2352" w14:textId="77777777" w:rsidTr="00E6200B">
        <w:trPr>
          <w:jc w:val="center"/>
        </w:trPr>
        <w:tc>
          <w:tcPr>
            <w:tcW w:w="2070" w:type="dxa"/>
            <w:tcBorders>
              <w:top w:val="single" w:sz="6" w:space="0" w:color="DDDDDD"/>
            </w:tcBorders>
            <w:shd w:val="clear" w:color="auto" w:fill="F9F9F9"/>
            <w:tcMar>
              <w:top w:w="120" w:type="dxa"/>
              <w:left w:w="120" w:type="dxa"/>
              <w:bottom w:w="120" w:type="dxa"/>
              <w:right w:w="120" w:type="dxa"/>
            </w:tcMar>
            <w:hideMark/>
          </w:tcPr>
          <w:p w14:paraId="52B79FC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April 22, 2018</w:t>
            </w:r>
          </w:p>
        </w:tc>
        <w:tc>
          <w:tcPr>
            <w:tcW w:w="1800" w:type="dxa"/>
            <w:tcBorders>
              <w:top w:val="single" w:sz="6" w:space="0" w:color="DDDDDD"/>
            </w:tcBorders>
            <w:shd w:val="clear" w:color="auto" w:fill="F9F9F9"/>
            <w:tcMar>
              <w:top w:w="120" w:type="dxa"/>
              <w:left w:w="120" w:type="dxa"/>
              <w:bottom w:w="120" w:type="dxa"/>
              <w:right w:w="120" w:type="dxa"/>
            </w:tcMar>
            <w:hideMark/>
          </w:tcPr>
          <w:p w14:paraId="6979D22F"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3</w:t>
            </w:r>
          </w:p>
        </w:tc>
        <w:tc>
          <w:tcPr>
            <w:tcW w:w="1800" w:type="dxa"/>
            <w:tcBorders>
              <w:top w:val="single" w:sz="6" w:space="0" w:color="DDDDDD"/>
            </w:tcBorders>
            <w:shd w:val="clear" w:color="auto" w:fill="F9F9F9"/>
            <w:tcMar>
              <w:top w:w="120" w:type="dxa"/>
              <w:left w:w="120" w:type="dxa"/>
              <w:bottom w:w="120" w:type="dxa"/>
              <w:right w:w="120" w:type="dxa"/>
            </w:tcMar>
            <w:hideMark/>
          </w:tcPr>
          <w:p w14:paraId="0181520F"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3</w:t>
            </w:r>
          </w:p>
        </w:tc>
        <w:tc>
          <w:tcPr>
            <w:tcW w:w="1620" w:type="dxa"/>
            <w:tcBorders>
              <w:top w:val="single" w:sz="6" w:space="0" w:color="DDDDDD"/>
            </w:tcBorders>
            <w:shd w:val="clear" w:color="auto" w:fill="F9F9F9"/>
            <w:tcMar>
              <w:top w:w="120" w:type="dxa"/>
              <w:left w:w="120" w:type="dxa"/>
              <w:bottom w:w="120" w:type="dxa"/>
              <w:right w:w="120" w:type="dxa"/>
            </w:tcMar>
            <w:hideMark/>
          </w:tcPr>
          <w:p w14:paraId="5935BC06"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100%</w:t>
            </w:r>
          </w:p>
        </w:tc>
      </w:tr>
      <w:tr w:rsidR="00E6200B" w:rsidRPr="00A42A15" w14:paraId="34BACB71" w14:textId="77777777" w:rsidTr="00E6200B">
        <w:trPr>
          <w:jc w:val="center"/>
        </w:trPr>
        <w:tc>
          <w:tcPr>
            <w:tcW w:w="2070" w:type="dxa"/>
            <w:tcBorders>
              <w:top w:val="single" w:sz="6" w:space="0" w:color="DDDDDD"/>
            </w:tcBorders>
            <w:shd w:val="clear" w:color="auto" w:fill="FFFFFF"/>
            <w:tcMar>
              <w:top w:w="120" w:type="dxa"/>
              <w:left w:w="120" w:type="dxa"/>
              <w:bottom w:w="120" w:type="dxa"/>
              <w:right w:w="120" w:type="dxa"/>
            </w:tcMar>
            <w:hideMark/>
          </w:tcPr>
          <w:p w14:paraId="7806F0BB"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Fall 2018</w:t>
            </w:r>
          </w:p>
        </w:tc>
        <w:tc>
          <w:tcPr>
            <w:tcW w:w="1800" w:type="dxa"/>
            <w:tcBorders>
              <w:top w:val="single" w:sz="6" w:space="0" w:color="DDDDDD"/>
            </w:tcBorders>
            <w:shd w:val="clear" w:color="auto" w:fill="FFFFFF"/>
            <w:tcMar>
              <w:top w:w="120" w:type="dxa"/>
              <w:left w:w="120" w:type="dxa"/>
              <w:bottom w:w="120" w:type="dxa"/>
              <w:right w:w="120" w:type="dxa"/>
            </w:tcMar>
            <w:hideMark/>
          </w:tcPr>
          <w:p w14:paraId="3D4E1E29"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7</w:t>
            </w:r>
          </w:p>
        </w:tc>
        <w:tc>
          <w:tcPr>
            <w:tcW w:w="1800" w:type="dxa"/>
            <w:tcBorders>
              <w:top w:val="single" w:sz="6" w:space="0" w:color="DDDDDD"/>
            </w:tcBorders>
            <w:shd w:val="clear" w:color="auto" w:fill="FFFFFF"/>
            <w:tcMar>
              <w:top w:w="120" w:type="dxa"/>
              <w:left w:w="120" w:type="dxa"/>
              <w:bottom w:w="120" w:type="dxa"/>
              <w:right w:w="120" w:type="dxa"/>
            </w:tcMar>
            <w:hideMark/>
          </w:tcPr>
          <w:p w14:paraId="78E7D7D8"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7</w:t>
            </w:r>
          </w:p>
        </w:tc>
        <w:tc>
          <w:tcPr>
            <w:tcW w:w="1620" w:type="dxa"/>
            <w:tcBorders>
              <w:top w:val="single" w:sz="6" w:space="0" w:color="DDDDDD"/>
            </w:tcBorders>
            <w:shd w:val="clear" w:color="auto" w:fill="FFFFFF"/>
            <w:tcMar>
              <w:top w:w="120" w:type="dxa"/>
              <w:left w:w="120" w:type="dxa"/>
              <w:bottom w:w="120" w:type="dxa"/>
              <w:right w:w="120" w:type="dxa"/>
            </w:tcMar>
            <w:hideMark/>
          </w:tcPr>
          <w:p w14:paraId="71506836"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100%</w:t>
            </w:r>
          </w:p>
        </w:tc>
      </w:tr>
      <w:tr w:rsidR="00E6200B" w:rsidRPr="00A42A15" w14:paraId="53FDF704" w14:textId="77777777" w:rsidTr="00E6200B">
        <w:trPr>
          <w:jc w:val="center"/>
        </w:trPr>
        <w:tc>
          <w:tcPr>
            <w:tcW w:w="2070" w:type="dxa"/>
            <w:tcBorders>
              <w:top w:val="single" w:sz="6" w:space="0" w:color="DDDDDD"/>
            </w:tcBorders>
            <w:shd w:val="clear" w:color="auto" w:fill="F9F9F9"/>
            <w:tcMar>
              <w:top w:w="120" w:type="dxa"/>
              <w:left w:w="120" w:type="dxa"/>
              <w:bottom w:w="120" w:type="dxa"/>
              <w:right w:w="120" w:type="dxa"/>
            </w:tcMar>
            <w:hideMark/>
          </w:tcPr>
          <w:p w14:paraId="7D1B7036"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Spring 2019</w:t>
            </w:r>
          </w:p>
        </w:tc>
        <w:tc>
          <w:tcPr>
            <w:tcW w:w="1800" w:type="dxa"/>
            <w:tcBorders>
              <w:top w:val="single" w:sz="6" w:space="0" w:color="DDDDDD"/>
            </w:tcBorders>
            <w:shd w:val="clear" w:color="auto" w:fill="F9F9F9"/>
            <w:tcMar>
              <w:top w:w="120" w:type="dxa"/>
              <w:left w:w="120" w:type="dxa"/>
              <w:bottom w:w="120" w:type="dxa"/>
              <w:right w:w="120" w:type="dxa"/>
            </w:tcMar>
            <w:hideMark/>
          </w:tcPr>
          <w:p w14:paraId="20ACB05F"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14</w:t>
            </w:r>
          </w:p>
        </w:tc>
        <w:tc>
          <w:tcPr>
            <w:tcW w:w="1800" w:type="dxa"/>
            <w:tcBorders>
              <w:top w:val="single" w:sz="6" w:space="0" w:color="DDDDDD"/>
            </w:tcBorders>
            <w:shd w:val="clear" w:color="auto" w:fill="F9F9F9"/>
            <w:tcMar>
              <w:top w:w="120" w:type="dxa"/>
              <w:left w:w="120" w:type="dxa"/>
              <w:bottom w:w="120" w:type="dxa"/>
              <w:right w:w="120" w:type="dxa"/>
            </w:tcMar>
            <w:hideMark/>
          </w:tcPr>
          <w:p w14:paraId="1BF6DD98"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13</w:t>
            </w:r>
          </w:p>
        </w:tc>
        <w:tc>
          <w:tcPr>
            <w:tcW w:w="1620" w:type="dxa"/>
            <w:tcBorders>
              <w:top w:val="single" w:sz="6" w:space="0" w:color="DDDDDD"/>
            </w:tcBorders>
            <w:shd w:val="clear" w:color="auto" w:fill="F9F9F9"/>
            <w:tcMar>
              <w:top w:w="120" w:type="dxa"/>
              <w:left w:w="120" w:type="dxa"/>
              <w:bottom w:w="120" w:type="dxa"/>
              <w:right w:w="120" w:type="dxa"/>
            </w:tcMar>
            <w:hideMark/>
          </w:tcPr>
          <w:p w14:paraId="689FC2B8"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93%</w:t>
            </w:r>
          </w:p>
        </w:tc>
      </w:tr>
      <w:tr w:rsidR="00E6200B" w:rsidRPr="00A42A15" w14:paraId="75DA02B1" w14:textId="77777777" w:rsidTr="007C3CFA">
        <w:trPr>
          <w:jc w:val="center"/>
        </w:trPr>
        <w:tc>
          <w:tcPr>
            <w:tcW w:w="207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50FA3D0D"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Fall 2019</w:t>
            </w:r>
          </w:p>
        </w:tc>
        <w:tc>
          <w:tcPr>
            <w:tcW w:w="18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2B050B71"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4</w:t>
            </w:r>
          </w:p>
        </w:tc>
        <w:tc>
          <w:tcPr>
            <w:tcW w:w="180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7B94C138"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4</w:t>
            </w:r>
          </w:p>
        </w:tc>
        <w:tc>
          <w:tcPr>
            <w:tcW w:w="1620" w:type="dxa"/>
            <w:tcBorders>
              <w:top w:val="single" w:sz="6" w:space="0" w:color="DDDDDD"/>
              <w:bottom w:val="single" w:sz="6" w:space="0" w:color="DDDDDD"/>
            </w:tcBorders>
            <w:shd w:val="clear" w:color="auto" w:fill="FFFFFF"/>
            <w:tcMar>
              <w:top w:w="120" w:type="dxa"/>
              <w:left w:w="120" w:type="dxa"/>
              <w:bottom w:w="120" w:type="dxa"/>
              <w:right w:w="120" w:type="dxa"/>
            </w:tcMar>
            <w:hideMark/>
          </w:tcPr>
          <w:p w14:paraId="14C57303" w14:textId="77777777" w:rsidR="00E6200B" w:rsidRPr="00A42A15" w:rsidRDefault="00E6200B" w:rsidP="00E6200B">
            <w:pPr>
              <w:spacing w:after="300" w:line="300" w:lineRule="atLeast"/>
              <w:rPr>
                <w:rFonts w:ascii="Times New Roman" w:eastAsia="Times New Roman" w:hAnsi="Times New Roman" w:cs="Times New Roman"/>
                <w:color w:val="000000"/>
                <w:sz w:val="24"/>
                <w:szCs w:val="24"/>
              </w:rPr>
            </w:pPr>
            <w:r w:rsidRPr="00A42A15">
              <w:rPr>
                <w:rFonts w:ascii="Times New Roman" w:eastAsia="Times New Roman" w:hAnsi="Times New Roman" w:cs="Times New Roman"/>
                <w:color w:val="000000"/>
                <w:sz w:val="24"/>
                <w:szCs w:val="24"/>
              </w:rPr>
              <w:t>100%</w:t>
            </w:r>
          </w:p>
        </w:tc>
      </w:tr>
      <w:tr w:rsidR="007C3CFA" w:rsidRPr="00A42A15" w14:paraId="64B49E19" w14:textId="77777777" w:rsidTr="00E6200B">
        <w:trPr>
          <w:jc w:val="center"/>
        </w:trPr>
        <w:tc>
          <w:tcPr>
            <w:tcW w:w="2070" w:type="dxa"/>
            <w:tcBorders>
              <w:top w:val="single" w:sz="6" w:space="0" w:color="DDDDDD"/>
            </w:tcBorders>
            <w:shd w:val="clear" w:color="auto" w:fill="FFFFFF"/>
            <w:tcMar>
              <w:top w:w="120" w:type="dxa"/>
              <w:left w:w="120" w:type="dxa"/>
              <w:bottom w:w="120" w:type="dxa"/>
              <w:right w:w="120" w:type="dxa"/>
            </w:tcMar>
          </w:tcPr>
          <w:p w14:paraId="72B32BB5" w14:textId="35A83E19" w:rsidR="007C3CFA" w:rsidRPr="00A42A15" w:rsidRDefault="007C3CFA" w:rsidP="00E6200B">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Spring 2020</w:t>
            </w:r>
          </w:p>
        </w:tc>
        <w:tc>
          <w:tcPr>
            <w:tcW w:w="1800" w:type="dxa"/>
            <w:tcBorders>
              <w:top w:val="single" w:sz="6" w:space="0" w:color="DDDDDD"/>
            </w:tcBorders>
            <w:shd w:val="clear" w:color="auto" w:fill="FFFFFF"/>
            <w:tcMar>
              <w:top w:w="120" w:type="dxa"/>
              <w:left w:w="120" w:type="dxa"/>
              <w:bottom w:w="120" w:type="dxa"/>
              <w:right w:w="120" w:type="dxa"/>
            </w:tcMar>
          </w:tcPr>
          <w:p w14:paraId="5EA0AF5F" w14:textId="7F051CA5" w:rsidR="007C3CFA" w:rsidRPr="00A42A15" w:rsidRDefault="007C3CFA" w:rsidP="00E6200B">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800" w:type="dxa"/>
            <w:tcBorders>
              <w:top w:val="single" w:sz="6" w:space="0" w:color="DDDDDD"/>
            </w:tcBorders>
            <w:shd w:val="clear" w:color="auto" w:fill="FFFFFF"/>
            <w:tcMar>
              <w:top w:w="120" w:type="dxa"/>
              <w:left w:w="120" w:type="dxa"/>
              <w:bottom w:w="120" w:type="dxa"/>
              <w:right w:w="120" w:type="dxa"/>
            </w:tcMar>
          </w:tcPr>
          <w:p w14:paraId="5574A9A6" w14:textId="7617AAED" w:rsidR="007C3CFA" w:rsidRPr="00A42A15" w:rsidRDefault="007C3CFA" w:rsidP="00E6200B">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620" w:type="dxa"/>
            <w:tcBorders>
              <w:top w:val="single" w:sz="6" w:space="0" w:color="DDDDDD"/>
            </w:tcBorders>
            <w:shd w:val="clear" w:color="auto" w:fill="FFFFFF"/>
            <w:tcMar>
              <w:top w:w="120" w:type="dxa"/>
              <w:left w:w="120" w:type="dxa"/>
              <w:bottom w:w="120" w:type="dxa"/>
              <w:right w:w="120" w:type="dxa"/>
            </w:tcMar>
          </w:tcPr>
          <w:p w14:paraId="779D32D9" w14:textId="3149FE05" w:rsidR="007C3CFA" w:rsidRPr="00A42A15" w:rsidRDefault="008A2126" w:rsidP="00E6200B">
            <w:pPr>
              <w:spacing w:after="300" w:line="3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r>
    </w:tbl>
    <w:p w14:paraId="4B49D3F1" w14:textId="6AC15A79" w:rsidR="00D662BF" w:rsidRPr="00A42A15" w:rsidRDefault="00D662BF" w:rsidP="00172C95">
      <w:pPr>
        <w:rPr>
          <w:rFonts w:ascii="Times New Roman" w:hAnsi="Times New Roman" w:cs="Times New Roman"/>
          <w:sz w:val="24"/>
          <w:szCs w:val="24"/>
        </w:rPr>
      </w:pPr>
    </w:p>
    <w:p w14:paraId="2985E515" w14:textId="4A26B20F" w:rsidR="00E6200B" w:rsidRPr="00A42A15" w:rsidRDefault="002917CB" w:rsidP="00172C95">
      <w:pPr>
        <w:rPr>
          <w:rFonts w:ascii="Times New Roman" w:hAnsi="Times New Roman" w:cs="Times New Roman"/>
          <w:sz w:val="24"/>
          <w:szCs w:val="24"/>
        </w:rPr>
      </w:pPr>
      <w:r w:rsidRPr="00A42A15">
        <w:rPr>
          <w:rFonts w:ascii="Times New Roman" w:hAnsi="Times New Roman" w:cs="Times New Roman"/>
          <w:sz w:val="24"/>
          <w:szCs w:val="24"/>
        </w:rPr>
        <w:t>As evidenced by this chart, UAB Counseling student pass rates remain consistently high for the NCE.</w:t>
      </w:r>
    </w:p>
    <w:p w14:paraId="4989CF94" w14:textId="5D640226" w:rsidR="00BB77A4" w:rsidRPr="00A42A15" w:rsidRDefault="005054A8" w:rsidP="005054A8">
      <w:pPr>
        <w:jc w:val="center"/>
        <w:rPr>
          <w:rFonts w:ascii="Times New Roman" w:hAnsi="Times New Roman" w:cs="Times New Roman"/>
          <w:b/>
          <w:bCs/>
          <w:sz w:val="24"/>
          <w:szCs w:val="24"/>
        </w:rPr>
      </w:pPr>
      <w:r w:rsidRPr="00A42A15">
        <w:rPr>
          <w:rFonts w:ascii="Times New Roman" w:hAnsi="Times New Roman" w:cs="Times New Roman"/>
          <w:b/>
          <w:bCs/>
          <w:sz w:val="24"/>
          <w:szCs w:val="24"/>
        </w:rPr>
        <w:lastRenderedPageBreak/>
        <w:t>CPCE Examination Results (Non-Exit) 2019-2020</w:t>
      </w:r>
    </w:p>
    <w:tbl>
      <w:tblPr>
        <w:tblStyle w:val="TableGrid"/>
        <w:tblW w:w="0" w:type="auto"/>
        <w:tblLook w:val="04A0" w:firstRow="1" w:lastRow="0" w:firstColumn="1" w:lastColumn="0" w:noHBand="0" w:noVBand="1"/>
      </w:tblPr>
      <w:tblGrid>
        <w:gridCol w:w="3955"/>
        <w:gridCol w:w="2700"/>
        <w:gridCol w:w="2695"/>
      </w:tblGrid>
      <w:tr w:rsidR="0042724F" w:rsidRPr="00A42A15" w14:paraId="5B45212E" w14:textId="77777777" w:rsidTr="000C2D73">
        <w:tc>
          <w:tcPr>
            <w:tcW w:w="3955" w:type="dxa"/>
          </w:tcPr>
          <w:p w14:paraId="3D4792D5" w14:textId="52558DA5" w:rsidR="0042724F" w:rsidRPr="00A42A15" w:rsidRDefault="00BB4604" w:rsidP="005054A8">
            <w:pPr>
              <w:jc w:val="center"/>
              <w:rPr>
                <w:rFonts w:ascii="Times New Roman" w:hAnsi="Times New Roman" w:cs="Times New Roman"/>
                <w:b/>
                <w:bCs/>
              </w:rPr>
            </w:pPr>
            <w:r w:rsidRPr="00A42A15">
              <w:rPr>
                <w:rFonts w:ascii="Times New Roman" w:hAnsi="Times New Roman" w:cs="Times New Roman"/>
                <w:b/>
                <w:bCs/>
              </w:rPr>
              <w:t>Exam Section</w:t>
            </w:r>
          </w:p>
        </w:tc>
        <w:tc>
          <w:tcPr>
            <w:tcW w:w="2700" w:type="dxa"/>
          </w:tcPr>
          <w:p w14:paraId="25667FE6" w14:textId="77777777" w:rsidR="0042724F" w:rsidRPr="00A42A15" w:rsidRDefault="00BB4604" w:rsidP="000C2D73">
            <w:pPr>
              <w:spacing w:after="0"/>
              <w:jc w:val="center"/>
              <w:rPr>
                <w:rFonts w:ascii="Times New Roman" w:hAnsi="Times New Roman" w:cs="Times New Roman"/>
                <w:b/>
                <w:bCs/>
              </w:rPr>
            </w:pPr>
            <w:r w:rsidRPr="00A42A15">
              <w:rPr>
                <w:rFonts w:ascii="Times New Roman" w:hAnsi="Times New Roman" w:cs="Times New Roman"/>
                <w:b/>
                <w:bCs/>
              </w:rPr>
              <w:t>UAB Results</w:t>
            </w:r>
          </w:p>
          <w:p w14:paraId="7DD8C613" w14:textId="3C680DE7" w:rsidR="000C2D73" w:rsidRPr="00A42A15" w:rsidRDefault="000C2D73" w:rsidP="000C2D73">
            <w:pPr>
              <w:spacing w:after="0"/>
              <w:jc w:val="center"/>
              <w:rPr>
                <w:rFonts w:ascii="Times New Roman" w:hAnsi="Times New Roman" w:cs="Times New Roman"/>
                <w:b/>
                <w:bCs/>
              </w:rPr>
            </w:pPr>
            <w:r w:rsidRPr="00A42A15">
              <w:rPr>
                <w:rFonts w:ascii="Times New Roman" w:hAnsi="Times New Roman" w:cs="Times New Roman"/>
                <w:b/>
                <w:bCs/>
              </w:rPr>
              <w:t>(Average Score)</w:t>
            </w:r>
          </w:p>
        </w:tc>
        <w:tc>
          <w:tcPr>
            <w:tcW w:w="2695" w:type="dxa"/>
          </w:tcPr>
          <w:p w14:paraId="76B412CC" w14:textId="77777777" w:rsidR="0042724F" w:rsidRPr="00A42A15" w:rsidRDefault="00BB4604" w:rsidP="000C2D73">
            <w:pPr>
              <w:spacing w:after="0"/>
              <w:jc w:val="center"/>
              <w:rPr>
                <w:rFonts w:ascii="Times New Roman" w:hAnsi="Times New Roman" w:cs="Times New Roman"/>
                <w:b/>
                <w:bCs/>
              </w:rPr>
            </w:pPr>
            <w:r w:rsidRPr="00A42A15">
              <w:rPr>
                <w:rFonts w:ascii="Times New Roman" w:hAnsi="Times New Roman" w:cs="Times New Roman"/>
                <w:b/>
                <w:bCs/>
              </w:rPr>
              <w:t>National Results</w:t>
            </w:r>
          </w:p>
          <w:p w14:paraId="0033B8CC" w14:textId="53FDCFA0" w:rsidR="000C2D73" w:rsidRPr="00A42A15" w:rsidRDefault="000C2D73" w:rsidP="000C2D73">
            <w:pPr>
              <w:spacing w:after="0"/>
              <w:jc w:val="center"/>
              <w:rPr>
                <w:rFonts w:ascii="Times New Roman" w:hAnsi="Times New Roman" w:cs="Times New Roman"/>
                <w:b/>
                <w:bCs/>
              </w:rPr>
            </w:pPr>
            <w:r w:rsidRPr="00A42A15">
              <w:rPr>
                <w:rFonts w:ascii="Times New Roman" w:hAnsi="Times New Roman" w:cs="Times New Roman"/>
                <w:b/>
                <w:bCs/>
              </w:rPr>
              <w:t>(Average Score)</w:t>
            </w:r>
          </w:p>
        </w:tc>
      </w:tr>
      <w:tr w:rsidR="0042724F" w:rsidRPr="00A42A15" w14:paraId="73609CE0" w14:textId="77777777" w:rsidTr="000C2D73">
        <w:tc>
          <w:tcPr>
            <w:tcW w:w="3955" w:type="dxa"/>
          </w:tcPr>
          <w:p w14:paraId="0616CEF6" w14:textId="78CF0E85" w:rsidR="0042724F" w:rsidRPr="00A42A15" w:rsidRDefault="0056145E" w:rsidP="005054A8">
            <w:pPr>
              <w:jc w:val="center"/>
              <w:rPr>
                <w:rFonts w:ascii="Times New Roman" w:hAnsi="Times New Roman" w:cs="Times New Roman"/>
              </w:rPr>
            </w:pPr>
            <w:r w:rsidRPr="00A42A15">
              <w:rPr>
                <w:rFonts w:ascii="Times New Roman" w:hAnsi="Times New Roman" w:cs="Times New Roman"/>
              </w:rPr>
              <w:t>Human Growth &amp; Development</w:t>
            </w:r>
          </w:p>
        </w:tc>
        <w:tc>
          <w:tcPr>
            <w:tcW w:w="2700" w:type="dxa"/>
          </w:tcPr>
          <w:p w14:paraId="340E6EC9" w14:textId="4120BDA5"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12.03</w:t>
            </w:r>
          </w:p>
        </w:tc>
        <w:tc>
          <w:tcPr>
            <w:tcW w:w="2695" w:type="dxa"/>
          </w:tcPr>
          <w:p w14:paraId="28BCF06F" w14:textId="2816EE82" w:rsidR="0042724F" w:rsidRPr="00A42A15" w:rsidRDefault="004575D5" w:rsidP="005054A8">
            <w:pPr>
              <w:jc w:val="center"/>
              <w:rPr>
                <w:rFonts w:ascii="Times New Roman" w:hAnsi="Times New Roman" w:cs="Times New Roman"/>
              </w:rPr>
            </w:pPr>
            <w:r w:rsidRPr="00A42A15">
              <w:rPr>
                <w:rFonts w:ascii="Times New Roman" w:hAnsi="Times New Roman" w:cs="Times New Roman"/>
              </w:rPr>
              <w:t>10.83</w:t>
            </w:r>
          </w:p>
        </w:tc>
      </w:tr>
      <w:tr w:rsidR="0042724F" w:rsidRPr="00A42A15" w14:paraId="5626F77E" w14:textId="77777777" w:rsidTr="000C2D73">
        <w:tc>
          <w:tcPr>
            <w:tcW w:w="3955" w:type="dxa"/>
          </w:tcPr>
          <w:p w14:paraId="5C6F3350" w14:textId="00266D1C" w:rsidR="0042724F" w:rsidRPr="00A42A15" w:rsidRDefault="0056145E" w:rsidP="005054A8">
            <w:pPr>
              <w:jc w:val="center"/>
              <w:rPr>
                <w:rFonts w:ascii="Times New Roman" w:hAnsi="Times New Roman" w:cs="Times New Roman"/>
              </w:rPr>
            </w:pPr>
            <w:r w:rsidRPr="00A42A15">
              <w:rPr>
                <w:rFonts w:ascii="Times New Roman" w:hAnsi="Times New Roman" w:cs="Times New Roman"/>
              </w:rPr>
              <w:t>Social &amp; Cultural Diversity</w:t>
            </w:r>
          </w:p>
        </w:tc>
        <w:tc>
          <w:tcPr>
            <w:tcW w:w="2700" w:type="dxa"/>
          </w:tcPr>
          <w:p w14:paraId="31105A4E" w14:textId="75844098"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10.76</w:t>
            </w:r>
          </w:p>
        </w:tc>
        <w:tc>
          <w:tcPr>
            <w:tcW w:w="2695" w:type="dxa"/>
          </w:tcPr>
          <w:p w14:paraId="5B653ECC" w14:textId="1AEC8AAD" w:rsidR="0042724F" w:rsidRPr="00A42A15" w:rsidRDefault="00173EB7" w:rsidP="005054A8">
            <w:pPr>
              <w:jc w:val="center"/>
              <w:rPr>
                <w:rFonts w:ascii="Times New Roman" w:hAnsi="Times New Roman" w:cs="Times New Roman"/>
              </w:rPr>
            </w:pPr>
            <w:r w:rsidRPr="00A42A15">
              <w:rPr>
                <w:rFonts w:ascii="Times New Roman" w:hAnsi="Times New Roman" w:cs="Times New Roman"/>
              </w:rPr>
              <w:t>10.08</w:t>
            </w:r>
          </w:p>
        </w:tc>
      </w:tr>
      <w:tr w:rsidR="0042724F" w:rsidRPr="00A42A15" w14:paraId="0BD6DC65" w14:textId="77777777" w:rsidTr="000C2D73">
        <w:tc>
          <w:tcPr>
            <w:tcW w:w="3955" w:type="dxa"/>
          </w:tcPr>
          <w:p w14:paraId="2FF17F61" w14:textId="7018BE22" w:rsidR="0042724F" w:rsidRPr="00A42A15" w:rsidRDefault="0056145E" w:rsidP="005054A8">
            <w:pPr>
              <w:jc w:val="center"/>
              <w:rPr>
                <w:rFonts w:ascii="Times New Roman" w:hAnsi="Times New Roman" w:cs="Times New Roman"/>
              </w:rPr>
            </w:pPr>
            <w:r w:rsidRPr="00A42A15">
              <w:rPr>
                <w:rFonts w:ascii="Times New Roman" w:hAnsi="Times New Roman" w:cs="Times New Roman"/>
              </w:rPr>
              <w:t>Counseling &amp; Helping Relationships</w:t>
            </w:r>
          </w:p>
        </w:tc>
        <w:tc>
          <w:tcPr>
            <w:tcW w:w="2700" w:type="dxa"/>
          </w:tcPr>
          <w:p w14:paraId="5EB08793" w14:textId="254537E5"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11.7</w:t>
            </w:r>
          </w:p>
        </w:tc>
        <w:tc>
          <w:tcPr>
            <w:tcW w:w="2695" w:type="dxa"/>
          </w:tcPr>
          <w:p w14:paraId="354DFC5A" w14:textId="2F85E4E5" w:rsidR="0042724F" w:rsidRPr="00A42A15" w:rsidRDefault="00173EB7" w:rsidP="005054A8">
            <w:pPr>
              <w:jc w:val="center"/>
              <w:rPr>
                <w:rFonts w:ascii="Times New Roman" w:hAnsi="Times New Roman" w:cs="Times New Roman"/>
              </w:rPr>
            </w:pPr>
            <w:r w:rsidRPr="00A42A15">
              <w:rPr>
                <w:rFonts w:ascii="Times New Roman" w:hAnsi="Times New Roman" w:cs="Times New Roman"/>
              </w:rPr>
              <w:t>10.43</w:t>
            </w:r>
          </w:p>
        </w:tc>
      </w:tr>
      <w:tr w:rsidR="0042724F" w:rsidRPr="00A42A15" w14:paraId="0E03634B" w14:textId="77777777" w:rsidTr="000C2D73">
        <w:tc>
          <w:tcPr>
            <w:tcW w:w="3955" w:type="dxa"/>
          </w:tcPr>
          <w:p w14:paraId="4CD1BE0C" w14:textId="36D9872E" w:rsidR="0042724F" w:rsidRPr="00A42A15" w:rsidRDefault="003D1ED2" w:rsidP="005054A8">
            <w:pPr>
              <w:jc w:val="center"/>
              <w:rPr>
                <w:rFonts w:ascii="Times New Roman" w:hAnsi="Times New Roman" w:cs="Times New Roman"/>
              </w:rPr>
            </w:pPr>
            <w:r w:rsidRPr="00A42A15">
              <w:rPr>
                <w:rFonts w:ascii="Times New Roman" w:hAnsi="Times New Roman" w:cs="Times New Roman"/>
              </w:rPr>
              <w:t>Group Counseling &amp; Group Work</w:t>
            </w:r>
          </w:p>
        </w:tc>
        <w:tc>
          <w:tcPr>
            <w:tcW w:w="2700" w:type="dxa"/>
          </w:tcPr>
          <w:p w14:paraId="2574A468" w14:textId="7B5C13D1"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12.63</w:t>
            </w:r>
          </w:p>
        </w:tc>
        <w:tc>
          <w:tcPr>
            <w:tcW w:w="2695" w:type="dxa"/>
          </w:tcPr>
          <w:p w14:paraId="06D3FFA7" w14:textId="2BC83E1A" w:rsidR="0042724F" w:rsidRPr="00A42A15" w:rsidRDefault="00173EB7" w:rsidP="005054A8">
            <w:pPr>
              <w:jc w:val="center"/>
              <w:rPr>
                <w:rFonts w:ascii="Times New Roman" w:hAnsi="Times New Roman" w:cs="Times New Roman"/>
              </w:rPr>
            </w:pPr>
            <w:r w:rsidRPr="00A42A15">
              <w:rPr>
                <w:rFonts w:ascii="Times New Roman" w:hAnsi="Times New Roman" w:cs="Times New Roman"/>
              </w:rPr>
              <w:t>10.76</w:t>
            </w:r>
          </w:p>
        </w:tc>
      </w:tr>
      <w:tr w:rsidR="0042724F" w:rsidRPr="00A42A15" w14:paraId="3A32392A" w14:textId="77777777" w:rsidTr="000C2D73">
        <w:tc>
          <w:tcPr>
            <w:tcW w:w="3955" w:type="dxa"/>
          </w:tcPr>
          <w:p w14:paraId="3304DB82" w14:textId="1798B0A1" w:rsidR="0042724F" w:rsidRPr="00A42A15" w:rsidRDefault="003D1ED2" w:rsidP="005054A8">
            <w:pPr>
              <w:jc w:val="center"/>
              <w:rPr>
                <w:rFonts w:ascii="Times New Roman" w:hAnsi="Times New Roman" w:cs="Times New Roman"/>
              </w:rPr>
            </w:pPr>
            <w:r w:rsidRPr="00A42A15">
              <w:rPr>
                <w:rFonts w:ascii="Times New Roman" w:hAnsi="Times New Roman" w:cs="Times New Roman"/>
              </w:rPr>
              <w:t>Career Development</w:t>
            </w:r>
          </w:p>
        </w:tc>
        <w:tc>
          <w:tcPr>
            <w:tcW w:w="2700" w:type="dxa"/>
          </w:tcPr>
          <w:p w14:paraId="5C65EAF5" w14:textId="2D33EC20"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11.2</w:t>
            </w:r>
          </w:p>
        </w:tc>
        <w:tc>
          <w:tcPr>
            <w:tcW w:w="2695" w:type="dxa"/>
          </w:tcPr>
          <w:p w14:paraId="4CF3A5F3" w14:textId="142DDC18" w:rsidR="0042724F" w:rsidRPr="00A42A15" w:rsidRDefault="00173EB7" w:rsidP="005054A8">
            <w:pPr>
              <w:jc w:val="center"/>
              <w:rPr>
                <w:rFonts w:ascii="Times New Roman" w:hAnsi="Times New Roman" w:cs="Times New Roman"/>
              </w:rPr>
            </w:pPr>
            <w:r w:rsidRPr="00A42A15">
              <w:rPr>
                <w:rFonts w:ascii="Times New Roman" w:hAnsi="Times New Roman" w:cs="Times New Roman"/>
              </w:rPr>
              <w:t>10.07</w:t>
            </w:r>
          </w:p>
        </w:tc>
      </w:tr>
      <w:tr w:rsidR="0042724F" w:rsidRPr="00A42A15" w14:paraId="3F5E2C1E" w14:textId="77777777" w:rsidTr="000C2D73">
        <w:tc>
          <w:tcPr>
            <w:tcW w:w="3955" w:type="dxa"/>
          </w:tcPr>
          <w:p w14:paraId="33C7CA96" w14:textId="44BA1C09" w:rsidR="0042724F" w:rsidRPr="00A42A15" w:rsidRDefault="003D1ED2" w:rsidP="005054A8">
            <w:pPr>
              <w:jc w:val="center"/>
              <w:rPr>
                <w:rFonts w:ascii="Times New Roman" w:hAnsi="Times New Roman" w:cs="Times New Roman"/>
              </w:rPr>
            </w:pPr>
            <w:r w:rsidRPr="00A42A15">
              <w:rPr>
                <w:rFonts w:ascii="Times New Roman" w:hAnsi="Times New Roman" w:cs="Times New Roman"/>
              </w:rPr>
              <w:t>Assessment &amp; Testing</w:t>
            </w:r>
          </w:p>
        </w:tc>
        <w:tc>
          <w:tcPr>
            <w:tcW w:w="2700" w:type="dxa"/>
          </w:tcPr>
          <w:p w14:paraId="12B3BD87" w14:textId="59C50EB0"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10.13</w:t>
            </w:r>
          </w:p>
        </w:tc>
        <w:tc>
          <w:tcPr>
            <w:tcW w:w="2695" w:type="dxa"/>
          </w:tcPr>
          <w:p w14:paraId="147AA023" w14:textId="4CCBBE83" w:rsidR="0042724F" w:rsidRPr="00A42A15" w:rsidRDefault="00173EB7" w:rsidP="005054A8">
            <w:pPr>
              <w:jc w:val="center"/>
              <w:rPr>
                <w:rFonts w:ascii="Times New Roman" w:hAnsi="Times New Roman" w:cs="Times New Roman"/>
              </w:rPr>
            </w:pPr>
            <w:r w:rsidRPr="00A42A15">
              <w:rPr>
                <w:rFonts w:ascii="Times New Roman" w:hAnsi="Times New Roman" w:cs="Times New Roman"/>
              </w:rPr>
              <w:t>9.56</w:t>
            </w:r>
          </w:p>
        </w:tc>
      </w:tr>
      <w:tr w:rsidR="0042724F" w:rsidRPr="00A42A15" w14:paraId="2175F560" w14:textId="77777777" w:rsidTr="000C2D73">
        <w:tc>
          <w:tcPr>
            <w:tcW w:w="3955" w:type="dxa"/>
          </w:tcPr>
          <w:p w14:paraId="1ACF46BA" w14:textId="6C93185C" w:rsidR="0042724F" w:rsidRPr="00A42A15" w:rsidRDefault="001B5EBD" w:rsidP="005054A8">
            <w:pPr>
              <w:jc w:val="center"/>
              <w:rPr>
                <w:rFonts w:ascii="Times New Roman" w:hAnsi="Times New Roman" w:cs="Times New Roman"/>
              </w:rPr>
            </w:pPr>
            <w:r w:rsidRPr="00A42A15">
              <w:rPr>
                <w:rFonts w:ascii="Times New Roman" w:hAnsi="Times New Roman" w:cs="Times New Roman"/>
              </w:rPr>
              <w:t>Research &amp; Program Evaluation</w:t>
            </w:r>
          </w:p>
        </w:tc>
        <w:tc>
          <w:tcPr>
            <w:tcW w:w="2700" w:type="dxa"/>
          </w:tcPr>
          <w:p w14:paraId="1CD92085" w14:textId="4A66D7CC"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10.56</w:t>
            </w:r>
          </w:p>
        </w:tc>
        <w:tc>
          <w:tcPr>
            <w:tcW w:w="2695" w:type="dxa"/>
          </w:tcPr>
          <w:p w14:paraId="50C144B7" w14:textId="714150BD" w:rsidR="0042724F" w:rsidRPr="00A42A15" w:rsidRDefault="00173EB7" w:rsidP="005054A8">
            <w:pPr>
              <w:jc w:val="center"/>
              <w:rPr>
                <w:rFonts w:ascii="Times New Roman" w:hAnsi="Times New Roman" w:cs="Times New Roman"/>
              </w:rPr>
            </w:pPr>
            <w:r w:rsidRPr="00A42A15">
              <w:rPr>
                <w:rFonts w:ascii="Times New Roman" w:hAnsi="Times New Roman" w:cs="Times New Roman"/>
              </w:rPr>
              <w:t>9.07</w:t>
            </w:r>
          </w:p>
        </w:tc>
      </w:tr>
      <w:tr w:rsidR="0042724F" w:rsidRPr="00A42A15" w14:paraId="5725234A" w14:textId="77777777" w:rsidTr="000C2D73">
        <w:tc>
          <w:tcPr>
            <w:tcW w:w="3955" w:type="dxa"/>
          </w:tcPr>
          <w:p w14:paraId="455335FF" w14:textId="5B11E1AC" w:rsidR="0042724F" w:rsidRPr="00A42A15" w:rsidRDefault="001B5EBD" w:rsidP="005054A8">
            <w:pPr>
              <w:jc w:val="center"/>
              <w:rPr>
                <w:rFonts w:ascii="Times New Roman" w:hAnsi="Times New Roman" w:cs="Times New Roman"/>
              </w:rPr>
            </w:pPr>
            <w:r w:rsidRPr="00A42A15">
              <w:rPr>
                <w:rFonts w:ascii="Times New Roman" w:hAnsi="Times New Roman" w:cs="Times New Roman"/>
              </w:rPr>
              <w:t>Professional Counseling Orientation &amp; Ethical Practice</w:t>
            </w:r>
          </w:p>
        </w:tc>
        <w:tc>
          <w:tcPr>
            <w:tcW w:w="2700" w:type="dxa"/>
          </w:tcPr>
          <w:p w14:paraId="244B547A" w14:textId="47B6CA6D" w:rsidR="0042724F" w:rsidRPr="00A42A15" w:rsidRDefault="00FC5306" w:rsidP="005054A8">
            <w:pPr>
              <w:jc w:val="center"/>
              <w:rPr>
                <w:rFonts w:ascii="Times New Roman" w:hAnsi="Times New Roman" w:cs="Times New Roman"/>
              </w:rPr>
            </w:pPr>
            <w:r w:rsidRPr="00A42A15">
              <w:rPr>
                <w:rFonts w:ascii="Times New Roman" w:hAnsi="Times New Roman" w:cs="Times New Roman"/>
              </w:rPr>
              <w:t>12.96</w:t>
            </w:r>
          </w:p>
        </w:tc>
        <w:tc>
          <w:tcPr>
            <w:tcW w:w="2695" w:type="dxa"/>
          </w:tcPr>
          <w:p w14:paraId="78F481D1" w14:textId="16F8CB89" w:rsidR="0042724F" w:rsidRPr="00A42A15" w:rsidRDefault="005E6C5F" w:rsidP="005054A8">
            <w:pPr>
              <w:jc w:val="center"/>
              <w:rPr>
                <w:rFonts w:ascii="Times New Roman" w:hAnsi="Times New Roman" w:cs="Times New Roman"/>
              </w:rPr>
            </w:pPr>
            <w:r w:rsidRPr="00A42A15">
              <w:rPr>
                <w:rFonts w:ascii="Times New Roman" w:hAnsi="Times New Roman" w:cs="Times New Roman"/>
              </w:rPr>
              <w:t>11.34</w:t>
            </w:r>
          </w:p>
        </w:tc>
      </w:tr>
      <w:tr w:rsidR="0042724F" w:rsidRPr="00A42A15" w14:paraId="344D739E" w14:textId="77777777" w:rsidTr="000C2D73">
        <w:tc>
          <w:tcPr>
            <w:tcW w:w="3955" w:type="dxa"/>
          </w:tcPr>
          <w:p w14:paraId="46C7AB2B" w14:textId="37E29508" w:rsidR="0042724F" w:rsidRPr="00A42A15" w:rsidRDefault="001B5EBD" w:rsidP="005054A8">
            <w:pPr>
              <w:jc w:val="center"/>
              <w:rPr>
                <w:rFonts w:ascii="Times New Roman" w:hAnsi="Times New Roman" w:cs="Times New Roman"/>
              </w:rPr>
            </w:pPr>
            <w:r w:rsidRPr="00A42A15">
              <w:rPr>
                <w:rFonts w:ascii="Times New Roman" w:hAnsi="Times New Roman" w:cs="Times New Roman"/>
              </w:rPr>
              <w:t>Total Score</w:t>
            </w:r>
          </w:p>
        </w:tc>
        <w:tc>
          <w:tcPr>
            <w:tcW w:w="2700" w:type="dxa"/>
          </w:tcPr>
          <w:p w14:paraId="74FE6FED" w14:textId="2D680DF7" w:rsidR="0042724F" w:rsidRPr="00A42A15" w:rsidRDefault="004575D5" w:rsidP="005054A8">
            <w:pPr>
              <w:jc w:val="center"/>
              <w:rPr>
                <w:rFonts w:ascii="Times New Roman" w:hAnsi="Times New Roman" w:cs="Times New Roman"/>
              </w:rPr>
            </w:pPr>
            <w:r w:rsidRPr="00A42A15">
              <w:rPr>
                <w:rFonts w:ascii="Times New Roman" w:hAnsi="Times New Roman" w:cs="Times New Roman"/>
              </w:rPr>
              <w:t>91.93</w:t>
            </w:r>
          </w:p>
        </w:tc>
        <w:tc>
          <w:tcPr>
            <w:tcW w:w="2695" w:type="dxa"/>
          </w:tcPr>
          <w:p w14:paraId="6018D919" w14:textId="1A886D2A" w:rsidR="0042724F" w:rsidRPr="00A42A15" w:rsidRDefault="005E6C5F" w:rsidP="005054A8">
            <w:pPr>
              <w:jc w:val="center"/>
              <w:rPr>
                <w:rFonts w:ascii="Times New Roman" w:hAnsi="Times New Roman" w:cs="Times New Roman"/>
              </w:rPr>
            </w:pPr>
            <w:r w:rsidRPr="00A42A15">
              <w:rPr>
                <w:rFonts w:ascii="Times New Roman" w:hAnsi="Times New Roman" w:cs="Times New Roman"/>
              </w:rPr>
              <w:t>84.4</w:t>
            </w:r>
          </w:p>
        </w:tc>
      </w:tr>
    </w:tbl>
    <w:p w14:paraId="530DD1CE" w14:textId="77777777" w:rsidR="005C79E7" w:rsidRDefault="005C79E7" w:rsidP="004E3CB7">
      <w:pPr>
        <w:rPr>
          <w:rFonts w:ascii="Times New Roman" w:hAnsi="Times New Roman" w:cs="Times New Roman"/>
          <w:sz w:val="24"/>
          <w:szCs w:val="24"/>
        </w:rPr>
      </w:pPr>
    </w:p>
    <w:p w14:paraId="615346D3" w14:textId="79AD9543" w:rsidR="007A7A87" w:rsidRPr="00A42A15" w:rsidRDefault="007A7A87" w:rsidP="004E3CB7">
      <w:pPr>
        <w:rPr>
          <w:rFonts w:ascii="Times New Roman" w:hAnsi="Times New Roman" w:cs="Times New Roman"/>
          <w:sz w:val="24"/>
          <w:szCs w:val="24"/>
        </w:rPr>
      </w:pPr>
      <w:r w:rsidRPr="00A42A15">
        <w:rPr>
          <w:rFonts w:ascii="Times New Roman" w:hAnsi="Times New Roman" w:cs="Times New Roman"/>
          <w:sz w:val="24"/>
          <w:szCs w:val="24"/>
        </w:rPr>
        <w:t xml:space="preserve">From this data, it appears that UAB counseling students, on average, score above the national </w:t>
      </w:r>
      <w:r w:rsidR="005C79E7">
        <w:rPr>
          <w:rFonts w:ascii="Times New Roman" w:hAnsi="Times New Roman" w:cs="Times New Roman"/>
          <w:sz w:val="24"/>
          <w:szCs w:val="24"/>
        </w:rPr>
        <w:t>averag</w:t>
      </w:r>
      <w:r w:rsidR="00E01163">
        <w:rPr>
          <w:rFonts w:ascii="Times New Roman" w:hAnsi="Times New Roman" w:cs="Times New Roman"/>
          <w:sz w:val="24"/>
          <w:szCs w:val="24"/>
        </w:rPr>
        <w:t>e</w:t>
      </w:r>
      <w:r w:rsidR="005C79E7" w:rsidRPr="00A42A15">
        <w:rPr>
          <w:rFonts w:ascii="Times New Roman" w:hAnsi="Times New Roman" w:cs="Times New Roman"/>
          <w:sz w:val="24"/>
          <w:szCs w:val="24"/>
        </w:rPr>
        <w:t xml:space="preserve"> </w:t>
      </w:r>
      <w:r w:rsidRPr="00A42A15">
        <w:rPr>
          <w:rFonts w:ascii="Times New Roman" w:hAnsi="Times New Roman" w:cs="Times New Roman"/>
          <w:sz w:val="24"/>
          <w:szCs w:val="24"/>
        </w:rPr>
        <w:t>across all domains. UAB Counseling students appear to consistently demonstrate strong performances in Group</w:t>
      </w:r>
      <w:r w:rsidR="00664EB8" w:rsidRPr="00A42A15">
        <w:rPr>
          <w:rFonts w:ascii="Times New Roman" w:hAnsi="Times New Roman" w:cs="Times New Roman"/>
          <w:sz w:val="24"/>
          <w:szCs w:val="24"/>
        </w:rPr>
        <w:t xml:space="preserve"> Counseling</w:t>
      </w:r>
      <w:r w:rsidRPr="00A42A15">
        <w:rPr>
          <w:rFonts w:ascii="Times New Roman" w:hAnsi="Times New Roman" w:cs="Times New Roman"/>
          <w:sz w:val="24"/>
          <w:szCs w:val="24"/>
        </w:rPr>
        <w:t xml:space="preserve">, </w:t>
      </w:r>
      <w:r w:rsidR="007072AA" w:rsidRPr="00A42A15">
        <w:rPr>
          <w:rFonts w:ascii="Times New Roman" w:hAnsi="Times New Roman" w:cs="Times New Roman"/>
          <w:sz w:val="24"/>
          <w:szCs w:val="24"/>
        </w:rPr>
        <w:t>Professional Orientation &amp; Ethics, and Research</w:t>
      </w:r>
      <w:r w:rsidR="001520F6" w:rsidRPr="00A42A15">
        <w:rPr>
          <w:rFonts w:ascii="Times New Roman" w:hAnsi="Times New Roman" w:cs="Times New Roman"/>
          <w:sz w:val="24"/>
          <w:szCs w:val="24"/>
        </w:rPr>
        <w:t xml:space="preserve"> &amp; Program Evaluation </w:t>
      </w:r>
      <w:r w:rsidR="007C1E57" w:rsidRPr="00A42A15">
        <w:rPr>
          <w:rFonts w:ascii="Times New Roman" w:hAnsi="Times New Roman" w:cs="Times New Roman"/>
          <w:sz w:val="24"/>
          <w:szCs w:val="24"/>
        </w:rPr>
        <w:t>as compared to the national mean</w:t>
      </w:r>
      <w:r w:rsidR="0048057C">
        <w:rPr>
          <w:rFonts w:ascii="Times New Roman" w:hAnsi="Times New Roman" w:cs="Times New Roman"/>
          <w:sz w:val="24"/>
          <w:szCs w:val="24"/>
        </w:rPr>
        <w:t xml:space="preserve"> </w:t>
      </w:r>
      <w:r w:rsidR="0048057C" w:rsidRPr="00A42A15">
        <w:rPr>
          <w:rFonts w:ascii="Times New Roman" w:hAnsi="Times New Roman" w:cs="Times New Roman"/>
          <w:sz w:val="24"/>
          <w:szCs w:val="24"/>
        </w:rPr>
        <w:t>(more than 1.45 points higher on average)</w:t>
      </w:r>
      <w:r w:rsidRPr="00A42A15">
        <w:rPr>
          <w:rFonts w:ascii="Times New Roman" w:hAnsi="Times New Roman" w:cs="Times New Roman"/>
          <w:sz w:val="24"/>
          <w:szCs w:val="24"/>
        </w:rPr>
        <w:t>. Conversely, UAB student scores tend to fall</w:t>
      </w:r>
      <w:r w:rsidR="007C1E57" w:rsidRPr="00A42A15">
        <w:rPr>
          <w:rFonts w:ascii="Times New Roman" w:hAnsi="Times New Roman" w:cs="Times New Roman"/>
          <w:sz w:val="24"/>
          <w:szCs w:val="24"/>
        </w:rPr>
        <w:t xml:space="preserve"> a bit</w:t>
      </w:r>
      <w:r w:rsidRPr="00A42A15">
        <w:rPr>
          <w:rFonts w:ascii="Times New Roman" w:hAnsi="Times New Roman" w:cs="Times New Roman"/>
          <w:sz w:val="24"/>
          <w:szCs w:val="24"/>
        </w:rPr>
        <w:t xml:space="preserve"> closer</w:t>
      </w:r>
      <w:r w:rsidR="007C1E57" w:rsidRPr="00A42A15">
        <w:rPr>
          <w:rFonts w:ascii="Times New Roman" w:hAnsi="Times New Roman" w:cs="Times New Roman"/>
          <w:sz w:val="24"/>
          <w:szCs w:val="24"/>
        </w:rPr>
        <w:t xml:space="preserve"> </w:t>
      </w:r>
      <w:r w:rsidRPr="00A42A15">
        <w:rPr>
          <w:rFonts w:ascii="Times New Roman" w:hAnsi="Times New Roman" w:cs="Times New Roman"/>
          <w:sz w:val="24"/>
          <w:szCs w:val="24"/>
        </w:rPr>
        <w:t>to the national means</w:t>
      </w:r>
      <w:r w:rsidR="00D30A84">
        <w:rPr>
          <w:rFonts w:ascii="Times New Roman" w:hAnsi="Times New Roman" w:cs="Times New Roman"/>
          <w:sz w:val="24"/>
          <w:szCs w:val="24"/>
        </w:rPr>
        <w:t xml:space="preserve"> </w:t>
      </w:r>
      <w:r w:rsidR="00D30A84" w:rsidRPr="00A42A15">
        <w:rPr>
          <w:rFonts w:ascii="Times New Roman" w:hAnsi="Times New Roman" w:cs="Times New Roman"/>
          <w:sz w:val="24"/>
          <w:szCs w:val="24"/>
        </w:rPr>
        <w:t xml:space="preserve">(within </w:t>
      </w:r>
      <w:r w:rsidR="005C79E7">
        <w:rPr>
          <w:rFonts w:ascii="Times New Roman" w:hAnsi="Times New Roman" w:cs="Times New Roman"/>
          <w:sz w:val="24"/>
          <w:szCs w:val="24"/>
        </w:rPr>
        <w:t>0</w:t>
      </w:r>
      <w:r w:rsidR="00D30A84" w:rsidRPr="00A42A15">
        <w:rPr>
          <w:rFonts w:ascii="Times New Roman" w:hAnsi="Times New Roman" w:cs="Times New Roman"/>
          <w:sz w:val="24"/>
          <w:szCs w:val="24"/>
        </w:rPr>
        <w:t>.75 points</w:t>
      </w:r>
      <w:r w:rsidR="006155A5">
        <w:rPr>
          <w:rFonts w:ascii="Times New Roman" w:hAnsi="Times New Roman" w:cs="Times New Roman"/>
          <w:sz w:val="24"/>
          <w:szCs w:val="24"/>
        </w:rPr>
        <w:t xml:space="preserve">, </w:t>
      </w:r>
      <w:r w:rsidR="00990CCB">
        <w:rPr>
          <w:rFonts w:ascii="Times New Roman" w:hAnsi="Times New Roman" w:cs="Times New Roman"/>
          <w:sz w:val="24"/>
          <w:szCs w:val="24"/>
        </w:rPr>
        <w:t>but no</w:t>
      </w:r>
      <w:r w:rsidR="00782F2C">
        <w:rPr>
          <w:rFonts w:ascii="Times New Roman" w:hAnsi="Times New Roman" w:cs="Times New Roman"/>
          <w:sz w:val="24"/>
          <w:szCs w:val="24"/>
        </w:rPr>
        <w:t>t</w:t>
      </w:r>
      <w:r w:rsidR="00990CCB">
        <w:rPr>
          <w:rFonts w:ascii="Times New Roman" w:hAnsi="Times New Roman" w:cs="Times New Roman"/>
          <w:sz w:val="24"/>
          <w:szCs w:val="24"/>
        </w:rPr>
        <w:t xml:space="preserve"> less than </w:t>
      </w:r>
      <w:r w:rsidR="00312324">
        <w:rPr>
          <w:rFonts w:ascii="Times New Roman" w:hAnsi="Times New Roman" w:cs="Times New Roman"/>
          <w:sz w:val="24"/>
          <w:szCs w:val="24"/>
        </w:rPr>
        <w:t xml:space="preserve"> .57 </w:t>
      </w:r>
      <w:r w:rsidR="00D30A84" w:rsidRPr="00A42A15">
        <w:rPr>
          <w:rFonts w:ascii="Times New Roman" w:hAnsi="Times New Roman" w:cs="Times New Roman"/>
          <w:sz w:val="24"/>
          <w:szCs w:val="24"/>
        </w:rPr>
        <w:t>on average)</w:t>
      </w:r>
      <w:r w:rsidRPr="00A42A15">
        <w:rPr>
          <w:rFonts w:ascii="Times New Roman" w:hAnsi="Times New Roman" w:cs="Times New Roman"/>
          <w:sz w:val="24"/>
          <w:szCs w:val="24"/>
        </w:rPr>
        <w:t xml:space="preserve"> </w:t>
      </w:r>
      <w:r w:rsidR="00D30A84">
        <w:rPr>
          <w:rFonts w:ascii="Times New Roman" w:hAnsi="Times New Roman" w:cs="Times New Roman"/>
          <w:sz w:val="24"/>
          <w:szCs w:val="24"/>
        </w:rPr>
        <w:t>i</w:t>
      </w:r>
      <w:r w:rsidRPr="00A42A15">
        <w:rPr>
          <w:rFonts w:ascii="Times New Roman" w:hAnsi="Times New Roman" w:cs="Times New Roman"/>
          <w:sz w:val="24"/>
          <w:szCs w:val="24"/>
        </w:rPr>
        <w:t xml:space="preserve">n </w:t>
      </w:r>
      <w:r w:rsidR="007C1E57" w:rsidRPr="00A42A15">
        <w:rPr>
          <w:rFonts w:ascii="Times New Roman" w:hAnsi="Times New Roman" w:cs="Times New Roman"/>
          <w:sz w:val="24"/>
          <w:szCs w:val="24"/>
        </w:rPr>
        <w:t>Social &amp; Cultural Diversity, and Assessment &amp; Testing.</w:t>
      </w:r>
    </w:p>
    <w:p w14:paraId="60B35647" w14:textId="23FC5500" w:rsidR="005054A8" w:rsidRPr="007866C1" w:rsidRDefault="007A7A87" w:rsidP="004E3CB7">
      <w:pPr>
        <w:rPr>
          <w:rFonts w:ascii="Times New Roman" w:hAnsi="Times New Roman" w:cs="Times New Roman"/>
          <w:sz w:val="24"/>
          <w:szCs w:val="24"/>
        </w:rPr>
      </w:pPr>
      <w:r w:rsidRPr="00A42A15">
        <w:rPr>
          <w:rFonts w:ascii="Times New Roman" w:hAnsi="Times New Roman" w:cs="Times New Roman"/>
          <w:sz w:val="24"/>
          <w:szCs w:val="24"/>
        </w:rPr>
        <w:t>*</w:t>
      </w:r>
      <w:r w:rsidR="004E3CB7" w:rsidRPr="00A42A15">
        <w:rPr>
          <w:rFonts w:ascii="Times New Roman" w:hAnsi="Times New Roman" w:cs="Times New Roman"/>
          <w:sz w:val="24"/>
          <w:szCs w:val="24"/>
        </w:rPr>
        <w:t xml:space="preserve">These results reflect </w:t>
      </w:r>
      <w:r w:rsidR="00566C2D" w:rsidRPr="00A42A15">
        <w:rPr>
          <w:rFonts w:ascii="Times New Roman" w:hAnsi="Times New Roman" w:cs="Times New Roman"/>
          <w:sz w:val="24"/>
          <w:szCs w:val="24"/>
        </w:rPr>
        <w:t>scores from Fall 2019, Spring 2020, and Summer 2020</w:t>
      </w:r>
      <w:r w:rsidR="002266AC" w:rsidRPr="00A42A15">
        <w:rPr>
          <w:rFonts w:ascii="Times New Roman" w:hAnsi="Times New Roman" w:cs="Times New Roman"/>
          <w:sz w:val="24"/>
          <w:szCs w:val="24"/>
        </w:rPr>
        <w:t xml:space="preserve"> examinations</w:t>
      </w:r>
      <w:r w:rsidR="00566C2D" w:rsidRPr="00A42A15">
        <w:rPr>
          <w:rFonts w:ascii="Times New Roman" w:hAnsi="Times New Roman" w:cs="Times New Roman"/>
          <w:sz w:val="24"/>
          <w:szCs w:val="24"/>
        </w:rPr>
        <w:t xml:space="preserve">. </w:t>
      </w:r>
      <w:r w:rsidR="00EB16B2" w:rsidRPr="00A42A15">
        <w:rPr>
          <w:rFonts w:ascii="Times New Roman" w:hAnsi="Times New Roman" w:cs="Times New Roman"/>
          <w:sz w:val="24"/>
          <w:szCs w:val="24"/>
        </w:rPr>
        <w:t>The national scores reflect the scores of 3,056 students who took the exam during the same time period</w:t>
      </w:r>
      <w:r w:rsidR="008276EE">
        <w:rPr>
          <w:rFonts w:ascii="Times New Roman" w:hAnsi="Times New Roman" w:cs="Times New Roman"/>
          <w:sz w:val="24"/>
          <w:szCs w:val="24"/>
        </w:rPr>
        <w:t xml:space="preserve"> as a non-exit exam</w:t>
      </w:r>
      <w:r w:rsidR="00EB16B2" w:rsidRPr="00A42A15">
        <w:rPr>
          <w:rFonts w:ascii="Times New Roman" w:hAnsi="Times New Roman" w:cs="Times New Roman"/>
          <w:sz w:val="24"/>
          <w:szCs w:val="24"/>
        </w:rPr>
        <w:t>.</w:t>
      </w:r>
      <w:r w:rsidR="00CF2C61" w:rsidRPr="00A42A15">
        <w:rPr>
          <w:rFonts w:ascii="Times New Roman" w:hAnsi="Times New Roman" w:cs="Times New Roman"/>
          <w:sz w:val="24"/>
          <w:szCs w:val="24"/>
        </w:rPr>
        <w:t xml:space="preserve"> Overall, 36 UAB students took the exam during this time period.</w:t>
      </w:r>
      <w:r w:rsidR="000F4D07" w:rsidRPr="00A42A15">
        <w:rPr>
          <w:rFonts w:ascii="Times New Roman" w:hAnsi="Times New Roman" w:cs="Times New Roman"/>
          <w:sz w:val="24"/>
          <w:szCs w:val="24"/>
        </w:rPr>
        <w:t xml:space="preserve"> </w:t>
      </w:r>
      <w:r w:rsidR="000F4D07" w:rsidRPr="007866C1">
        <w:rPr>
          <w:rFonts w:ascii="Times New Roman" w:hAnsi="Times New Roman" w:cs="Times New Roman"/>
          <w:sz w:val="24"/>
          <w:szCs w:val="24"/>
        </w:rPr>
        <w:t>For our internal pass rate, 6 of these students did not pass the exam, resulting in a pass rate of</w:t>
      </w:r>
      <w:r w:rsidR="00C40E2F" w:rsidRPr="007866C1">
        <w:rPr>
          <w:rFonts w:ascii="Times New Roman" w:hAnsi="Times New Roman" w:cs="Times New Roman"/>
          <w:sz w:val="24"/>
          <w:szCs w:val="24"/>
        </w:rPr>
        <w:t xml:space="preserve"> 83.3%</w:t>
      </w:r>
      <w:r w:rsidR="00CC19DD" w:rsidRPr="007866C1">
        <w:rPr>
          <w:rFonts w:ascii="Times New Roman" w:hAnsi="Times New Roman" w:cs="Times New Roman"/>
          <w:sz w:val="24"/>
          <w:szCs w:val="24"/>
        </w:rPr>
        <w:t>.</w:t>
      </w:r>
      <w:r w:rsidR="005C4E31" w:rsidRPr="007866C1">
        <w:rPr>
          <w:rFonts w:ascii="Times New Roman" w:hAnsi="Times New Roman" w:cs="Times New Roman"/>
          <w:sz w:val="24"/>
          <w:szCs w:val="24"/>
        </w:rPr>
        <w:t xml:space="preserve"> </w:t>
      </w:r>
      <w:r w:rsidR="007866C1">
        <w:rPr>
          <w:rFonts w:ascii="Times New Roman" w:hAnsi="Times New Roman" w:cs="Times New Roman"/>
          <w:sz w:val="24"/>
          <w:szCs w:val="24"/>
        </w:rPr>
        <w:t>It should be noted that students may take the exam up to three times in an attempt to pass, so these numbers may reflect multiple attempts by some students. The pass rate becomes higher when re-tests/subsequent passes are factored in.</w:t>
      </w:r>
    </w:p>
    <w:p w14:paraId="066DE062" w14:textId="70888C0D" w:rsidR="00A468D4" w:rsidRPr="00A468D4" w:rsidRDefault="00A468D4" w:rsidP="00A468D4">
      <w:pPr>
        <w:rPr>
          <w:rFonts w:ascii="Times New Roman" w:hAnsi="Times New Roman" w:cs="Times New Roman"/>
          <w:b/>
          <w:bCs/>
          <w:sz w:val="24"/>
          <w:szCs w:val="24"/>
        </w:rPr>
      </w:pPr>
      <w:r w:rsidRPr="00A468D4">
        <w:rPr>
          <w:rFonts w:ascii="Times New Roman" w:hAnsi="Times New Roman" w:cs="Times New Roman"/>
          <w:b/>
          <w:bCs/>
          <w:sz w:val="24"/>
          <w:szCs w:val="24"/>
        </w:rPr>
        <w:t>Key Program Indicator: Counselor Competencies Scale (CCS)</w:t>
      </w:r>
    </w:p>
    <w:p w14:paraId="4045CADF" w14:textId="1FBDFE70" w:rsidR="00A468D4" w:rsidRPr="00A468D4" w:rsidRDefault="00A468D4" w:rsidP="00A468D4">
      <w:pPr>
        <w:rPr>
          <w:rFonts w:ascii="Times New Roman" w:hAnsi="Times New Roman" w:cs="Times New Roman"/>
          <w:b/>
          <w:bCs/>
          <w:sz w:val="24"/>
          <w:szCs w:val="24"/>
        </w:rPr>
      </w:pPr>
      <w:r w:rsidRPr="00A468D4">
        <w:rPr>
          <w:rFonts w:ascii="Times New Roman" w:hAnsi="Times New Roman" w:cs="Times New Roman"/>
          <w:b/>
          <w:bCs/>
          <w:sz w:val="24"/>
          <w:szCs w:val="24"/>
        </w:rPr>
        <w:t>Midterm and Final Evaluations for ECG 695, 696, and 697</w:t>
      </w:r>
      <w:r w:rsidR="00F50673">
        <w:rPr>
          <w:rFonts w:ascii="Times New Roman" w:hAnsi="Times New Roman" w:cs="Times New Roman"/>
          <w:b/>
          <w:bCs/>
          <w:sz w:val="24"/>
          <w:szCs w:val="24"/>
        </w:rPr>
        <w:t xml:space="preserve"> AY 2019-2020</w:t>
      </w:r>
    </w:p>
    <w:p w14:paraId="50849A7D" w14:textId="0175980A" w:rsidR="00A468D4" w:rsidRPr="00A468D4" w:rsidRDefault="00A468D4" w:rsidP="00A468D4">
      <w:pPr>
        <w:rPr>
          <w:rFonts w:ascii="Times New Roman" w:hAnsi="Times New Roman" w:cs="Times New Roman"/>
          <w:sz w:val="24"/>
          <w:szCs w:val="24"/>
        </w:rPr>
      </w:pPr>
      <w:r w:rsidRPr="00A468D4">
        <w:rPr>
          <w:rFonts w:ascii="Times New Roman" w:hAnsi="Times New Roman" w:cs="Times New Roman"/>
          <w:sz w:val="24"/>
          <w:szCs w:val="24"/>
        </w:rPr>
        <w:lastRenderedPageBreak/>
        <w:t xml:space="preserve">The Counselor Competencies Scale (CCS) is a Key Performance Indicator administered </w:t>
      </w:r>
      <w:r w:rsidR="00922C52">
        <w:rPr>
          <w:rFonts w:ascii="Times New Roman" w:hAnsi="Times New Roman" w:cs="Times New Roman"/>
          <w:sz w:val="24"/>
          <w:szCs w:val="24"/>
        </w:rPr>
        <w:t>to</w:t>
      </w:r>
      <w:r w:rsidR="00922C52" w:rsidRPr="00A468D4">
        <w:rPr>
          <w:rFonts w:ascii="Times New Roman" w:hAnsi="Times New Roman" w:cs="Times New Roman"/>
          <w:sz w:val="24"/>
          <w:szCs w:val="24"/>
        </w:rPr>
        <w:t xml:space="preserve"> </w:t>
      </w:r>
      <w:r w:rsidRPr="00A468D4">
        <w:rPr>
          <w:rFonts w:ascii="Times New Roman" w:hAnsi="Times New Roman" w:cs="Times New Roman"/>
          <w:sz w:val="24"/>
          <w:szCs w:val="24"/>
        </w:rPr>
        <w:t xml:space="preserve">all students in each semester of clinicals in ECG 695, ECG 696, and ECG 697.  Clinical site supervisors complete the CCS for each student midway through the semester (the midterm evaluation), and at the end of the semester (the final evaluation). The CCS evaluates 32 clinical skills and professional </w:t>
      </w:r>
      <w:r w:rsidR="00C62342" w:rsidRPr="00A468D4">
        <w:rPr>
          <w:rFonts w:ascii="Times New Roman" w:hAnsi="Times New Roman" w:cs="Times New Roman"/>
          <w:sz w:val="24"/>
          <w:szCs w:val="24"/>
        </w:rPr>
        <w:t>dispositions and</w:t>
      </w:r>
      <w:r w:rsidRPr="00A468D4">
        <w:rPr>
          <w:rFonts w:ascii="Times New Roman" w:hAnsi="Times New Roman" w:cs="Times New Roman"/>
          <w:sz w:val="24"/>
          <w:szCs w:val="24"/>
        </w:rPr>
        <w:t xml:space="preserve"> has 4 categories: Unacceptable (score of 1), Near Expectations (score of 2), Meets </w:t>
      </w:r>
      <w:r w:rsidR="00C62342" w:rsidRPr="00A468D4">
        <w:rPr>
          <w:rFonts w:ascii="Times New Roman" w:hAnsi="Times New Roman" w:cs="Times New Roman"/>
          <w:sz w:val="24"/>
          <w:szCs w:val="24"/>
        </w:rPr>
        <w:t>Expectations</w:t>
      </w:r>
      <w:r w:rsidRPr="00A468D4">
        <w:rPr>
          <w:rFonts w:ascii="Times New Roman" w:hAnsi="Times New Roman" w:cs="Times New Roman"/>
          <w:sz w:val="24"/>
          <w:szCs w:val="24"/>
        </w:rPr>
        <w:t xml:space="preserve"> (score of 3), and Exceeds Expectations (score of 4). Students are expected to have an average score of at least 3 on the CCS at the conclusion of each clinical semester.</w:t>
      </w:r>
    </w:p>
    <w:p w14:paraId="0A278036" w14:textId="77777777" w:rsidR="00A468D4" w:rsidRPr="00A468D4" w:rsidRDefault="00A468D4" w:rsidP="00A468D4">
      <w:pPr>
        <w:rPr>
          <w:rFonts w:ascii="Times New Roman" w:hAnsi="Times New Roman" w:cs="Times New Roman"/>
          <w:b/>
          <w:bCs/>
          <w:sz w:val="24"/>
          <w:szCs w:val="24"/>
        </w:rPr>
      </w:pPr>
      <w:r w:rsidRPr="00A468D4">
        <w:rPr>
          <w:rFonts w:ascii="Times New Roman" w:hAnsi="Times New Roman" w:cs="Times New Roman"/>
          <w:b/>
          <w:bCs/>
          <w:sz w:val="24"/>
          <w:szCs w:val="24"/>
        </w:rPr>
        <w:t>2019-2020 AY CCS Average Scores</w:t>
      </w:r>
    </w:p>
    <w:tbl>
      <w:tblPr>
        <w:tblStyle w:val="TableGrid"/>
        <w:tblW w:w="0" w:type="auto"/>
        <w:tblLayout w:type="fixed"/>
        <w:tblLook w:val="04A0" w:firstRow="1" w:lastRow="0" w:firstColumn="1" w:lastColumn="0" w:noHBand="0" w:noVBand="1"/>
      </w:tblPr>
      <w:tblGrid>
        <w:gridCol w:w="2605"/>
        <w:gridCol w:w="1800"/>
        <w:gridCol w:w="1800"/>
      </w:tblGrid>
      <w:tr w:rsidR="00A468D4" w:rsidRPr="00A468D4" w14:paraId="6AF56543" w14:textId="77777777" w:rsidTr="00337F56">
        <w:tc>
          <w:tcPr>
            <w:tcW w:w="2605" w:type="dxa"/>
          </w:tcPr>
          <w:p w14:paraId="286E4015" w14:textId="77777777" w:rsidR="00A468D4" w:rsidRPr="00CF2B22" w:rsidRDefault="00A468D4" w:rsidP="00724C09">
            <w:pPr>
              <w:rPr>
                <w:rFonts w:ascii="Times New Roman" w:hAnsi="Times New Roman" w:cs="Times New Roman"/>
                <w:b/>
                <w:bCs/>
              </w:rPr>
            </w:pPr>
            <w:r w:rsidRPr="00CF2B22">
              <w:rPr>
                <w:rFonts w:ascii="Times New Roman" w:hAnsi="Times New Roman" w:cs="Times New Roman"/>
                <w:b/>
                <w:bCs/>
              </w:rPr>
              <w:t>Course</w:t>
            </w:r>
          </w:p>
        </w:tc>
        <w:tc>
          <w:tcPr>
            <w:tcW w:w="1800" w:type="dxa"/>
          </w:tcPr>
          <w:p w14:paraId="27645E8E" w14:textId="77777777" w:rsidR="00A468D4" w:rsidRDefault="00A468D4" w:rsidP="00724C09">
            <w:pPr>
              <w:rPr>
                <w:rFonts w:ascii="Times New Roman" w:hAnsi="Times New Roman" w:cs="Times New Roman"/>
                <w:b/>
                <w:bCs/>
              </w:rPr>
            </w:pPr>
            <w:r w:rsidRPr="00CF2B22">
              <w:rPr>
                <w:rFonts w:ascii="Times New Roman" w:hAnsi="Times New Roman" w:cs="Times New Roman"/>
                <w:b/>
                <w:bCs/>
              </w:rPr>
              <w:t>Midterm</w:t>
            </w:r>
            <w:r w:rsidR="00CF2B22" w:rsidRPr="00CF2B22">
              <w:rPr>
                <w:rFonts w:ascii="Times New Roman" w:hAnsi="Times New Roman" w:cs="Times New Roman"/>
                <w:b/>
                <w:bCs/>
              </w:rPr>
              <w:t xml:space="preserve"> Evaluation</w:t>
            </w:r>
          </w:p>
          <w:p w14:paraId="289D1C67" w14:textId="6F8A02FC" w:rsidR="00337F56" w:rsidRPr="00337F56" w:rsidRDefault="00337F56" w:rsidP="00724C09">
            <w:pPr>
              <w:rPr>
                <w:rFonts w:ascii="Times New Roman" w:hAnsi="Times New Roman" w:cs="Times New Roman"/>
              </w:rPr>
            </w:pPr>
            <w:r w:rsidRPr="00337F56">
              <w:rPr>
                <w:rFonts w:ascii="Times New Roman" w:hAnsi="Times New Roman" w:cs="Times New Roman"/>
              </w:rPr>
              <w:t>(Range 1.0-4.0)</w:t>
            </w:r>
          </w:p>
        </w:tc>
        <w:tc>
          <w:tcPr>
            <w:tcW w:w="1800" w:type="dxa"/>
          </w:tcPr>
          <w:p w14:paraId="36F9522F" w14:textId="77777777" w:rsidR="00A468D4" w:rsidRDefault="00A468D4" w:rsidP="00724C09">
            <w:pPr>
              <w:rPr>
                <w:rFonts w:ascii="Times New Roman" w:hAnsi="Times New Roman" w:cs="Times New Roman"/>
                <w:b/>
                <w:bCs/>
              </w:rPr>
            </w:pPr>
            <w:r w:rsidRPr="00CF2B22">
              <w:rPr>
                <w:rFonts w:ascii="Times New Roman" w:hAnsi="Times New Roman" w:cs="Times New Roman"/>
                <w:b/>
                <w:bCs/>
              </w:rPr>
              <w:t>Final</w:t>
            </w:r>
            <w:r w:rsidR="00CF2B22" w:rsidRPr="00CF2B22">
              <w:rPr>
                <w:rFonts w:ascii="Times New Roman" w:hAnsi="Times New Roman" w:cs="Times New Roman"/>
                <w:b/>
                <w:bCs/>
              </w:rPr>
              <w:t xml:space="preserve"> Evaluation</w:t>
            </w:r>
          </w:p>
          <w:p w14:paraId="2E576CCB" w14:textId="01B34224" w:rsidR="00337F56" w:rsidRPr="00337F56" w:rsidRDefault="00337F56" w:rsidP="00724C09">
            <w:pPr>
              <w:rPr>
                <w:rFonts w:ascii="Times New Roman" w:hAnsi="Times New Roman" w:cs="Times New Roman"/>
              </w:rPr>
            </w:pPr>
            <w:r w:rsidRPr="00337F56">
              <w:rPr>
                <w:rFonts w:ascii="Times New Roman" w:hAnsi="Times New Roman" w:cs="Times New Roman"/>
              </w:rPr>
              <w:t>(Range 1.0-4.0)</w:t>
            </w:r>
          </w:p>
        </w:tc>
      </w:tr>
      <w:tr w:rsidR="00A468D4" w:rsidRPr="00A468D4" w14:paraId="7E2872AD" w14:textId="77777777" w:rsidTr="00337F56">
        <w:tc>
          <w:tcPr>
            <w:tcW w:w="2605" w:type="dxa"/>
          </w:tcPr>
          <w:p w14:paraId="633A9A0C" w14:textId="5FB1479A" w:rsidR="00A468D4" w:rsidRPr="00A468D4" w:rsidRDefault="00A468D4" w:rsidP="00724C09">
            <w:pPr>
              <w:rPr>
                <w:rFonts w:ascii="Times New Roman" w:hAnsi="Times New Roman" w:cs="Times New Roman"/>
              </w:rPr>
            </w:pPr>
            <w:r w:rsidRPr="00A468D4">
              <w:rPr>
                <w:rFonts w:ascii="Times New Roman" w:hAnsi="Times New Roman" w:cs="Times New Roman"/>
              </w:rPr>
              <w:t>ECG 695</w:t>
            </w:r>
            <w:r w:rsidR="00AE1325">
              <w:rPr>
                <w:rFonts w:ascii="Times New Roman" w:hAnsi="Times New Roman" w:cs="Times New Roman"/>
              </w:rPr>
              <w:t>: Practicum II</w:t>
            </w:r>
          </w:p>
        </w:tc>
        <w:tc>
          <w:tcPr>
            <w:tcW w:w="1800" w:type="dxa"/>
          </w:tcPr>
          <w:p w14:paraId="5A34AEFA" w14:textId="77777777" w:rsidR="00A468D4" w:rsidRPr="00A468D4" w:rsidRDefault="00A468D4" w:rsidP="00724C09">
            <w:pPr>
              <w:rPr>
                <w:rFonts w:ascii="Times New Roman" w:hAnsi="Times New Roman" w:cs="Times New Roman"/>
              </w:rPr>
            </w:pPr>
            <w:r w:rsidRPr="00A468D4">
              <w:rPr>
                <w:rFonts w:ascii="Times New Roman" w:hAnsi="Times New Roman" w:cs="Times New Roman"/>
              </w:rPr>
              <w:t>3.56</w:t>
            </w:r>
          </w:p>
        </w:tc>
        <w:tc>
          <w:tcPr>
            <w:tcW w:w="1800" w:type="dxa"/>
          </w:tcPr>
          <w:p w14:paraId="322986E3" w14:textId="77777777" w:rsidR="00A468D4" w:rsidRPr="00A468D4" w:rsidRDefault="00A468D4" w:rsidP="00724C09">
            <w:pPr>
              <w:rPr>
                <w:rFonts w:ascii="Times New Roman" w:hAnsi="Times New Roman" w:cs="Times New Roman"/>
              </w:rPr>
            </w:pPr>
            <w:r w:rsidRPr="00A468D4">
              <w:rPr>
                <w:rFonts w:ascii="Times New Roman" w:hAnsi="Times New Roman" w:cs="Times New Roman"/>
              </w:rPr>
              <w:t>3.69</w:t>
            </w:r>
          </w:p>
        </w:tc>
      </w:tr>
      <w:tr w:rsidR="00A468D4" w:rsidRPr="00A468D4" w14:paraId="15C5640E" w14:textId="77777777" w:rsidTr="00337F56">
        <w:tc>
          <w:tcPr>
            <w:tcW w:w="2605" w:type="dxa"/>
          </w:tcPr>
          <w:p w14:paraId="70C44A3C" w14:textId="3245204F" w:rsidR="00A468D4" w:rsidRPr="00A468D4" w:rsidRDefault="00A468D4" w:rsidP="00724C09">
            <w:pPr>
              <w:rPr>
                <w:rFonts w:ascii="Times New Roman" w:hAnsi="Times New Roman" w:cs="Times New Roman"/>
              </w:rPr>
            </w:pPr>
            <w:r w:rsidRPr="00A468D4">
              <w:rPr>
                <w:rFonts w:ascii="Times New Roman" w:hAnsi="Times New Roman" w:cs="Times New Roman"/>
              </w:rPr>
              <w:t>ECG 696</w:t>
            </w:r>
            <w:r w:rsidR="00AE1325">
              <w:rPr>
                <w:rFonts w:ascii="Times New Roman" w:hAnsi="Times New Roman" w:cs="Times New Roman"/>
              </w:rPr>
              <w:t>: Counseling Internship A</w:t>
            </w:r>
          </w:p>
        </w:tc>
        <w:tc>
          <w:tcPr>
            <w:tcW w:w="1800" w:type="dxa"/>
          </w:tcPr>
          <w:p w14:paraId="3560D583" w14:textId="77777777" w:rsidR="00A468D4" w:rsidRPr="00A468D4" w:rsidRDefault="00A468D4" w:rsidP="00724C09">
            <w:pPr>
              <w:rPr>
                <w:rFonts w:ascii="Times New Roman" w:hAnsi="Times New Roman" w:cs="Times New Roman"/>
              </w:rPr>
            </w:pPr>
            <w:r w:rsidRPr="00A468D4">
              <w:rPr>
                <w:rFonts w:ascii="Times New Roman" w:hAnsi="Times New Roman" w:cs="Times New Roman"/>
              </w:rPr>
              <w:t>3.61</w:t>
            </w:r>
          </w:p>
        </w:tc>
        <w:tc>
          <w:tcPr>
            <w:tcW w:w="1800" w:type="dxa"/>
          </w:tcPr>
          <w:p w14:paraId="5EEBC3DA" w14:textId="77777777" w:rsidR="00A468D4" w:rsidRPr="00A468D4" w:rsidRDefault="00A468D4" w:rsidP="00724C09">
            <w:pPr>
              <w:rPr>
                <w:rFonts w:ascii="Times New Roman" w:hAnsi="Times New Roman" w:cs="Times New Roman"/>
              </w:rPr>
            </w:pPr>
            <w:r w:rsidRPr="00A468D4">
              <w:rPr>
                <w:rFonts w:ascii="Times New Roman" w:hAnsi="Times New Roman" w:cs="Times New Roman"/>
              </w:rPr>
              <w:t>3.74</w:t>
            </w:r>
          </w:p>
        </w:tc>
      </w:tr>
      <w:tr w:rsidR="00A468D4" w:rsidRPr="00A468D4" w14:paraId="71561586" w14:textId="77777777" w:rsidTr="00337F56">
        <w:tc>
          <w:tcPr>
            <w:tcW w:w="2605" w:type="dxa"/>
          </w:tcPr>
          <w:p w14:paraId="509C291A" w14:textId="72CDB9D9" w:rsidR="00A468D4" w:rsidRPr="00A468D4" w:rsidRDefault="00A468D4" w:rsidP="00724C09">
            <w:pPr>
              <w:rPr>
                <w:rFonts w:ascii="Times New Roman" w:hAnsi="Times New Roman" w:cs="Times New Roman"/>
              </w:rPr>
            </w:pPr>
            <w:r w:rsidRPr="00A468D4">
              <w:rPr>
                <w:rFonts w:ascii="Times New Roman" w:hAnsi="Times New Roman" w:cs="Times New Roman"/>
              </w:rPr>
              <w:t>ECG 697</w:t>
            </w:r>
            <w:r w:rsidR="00AE1325">
              <w:rPr>
                <w:rFonts w:ascii="Times New Roman" w:hAnsi="Times New Roman" w:cs="Times New Roman"/>
              </w:rPr>
              <w:t>: Counseling Internship B</w:t>
            </w:r>
          </w:p>
        </w:tc>
        <w:tc>
          <w:tcPr>
            <w:tcW w:w="1800" w:type="dxa"/>
          </w:tcPr>
          <w:p w14:paraId="11E1B73F" w14:textId="77777777" w:rsidR="00A468D4" w:rsidRPr="00A468D4" w:rsidRDefault="00A468D4" w:rsidP="00724C09">
            <w:pPr>
              <w:rPr>
                <w:rFonts w:ascii="Times New Roman" w:hAnsi="Times New Roman" w:cs="Times New Roman"/>
              </w:rPr>
            </w:pPr>
            <w:r w:rsidRPr="00A468D4">
              <w:rPr>
                <w:rFonts w:ascii="Times New Roman" w:hAnsi="Times New Roman" w:cs="Times New Roman"/>
              </w:rPr>
              <w:t>3.67</w:t>
            </w:r>
          </w:p>
        </w:tc>
        <w:tc>
          <w:tcPr>
            <w:tcW w:w="1800" w:type="dxa"/>
          </w:tcPr>
          <w:p w14:paraId="1B3F9579" w14:textId="77777777" w:rsidR="00A468D4" w:rsidRPr="00A468D4" w:rsidRDefault="00A468D4" w:rsidP="00724C09">
            <w:pPr>
              <w:rPr>
                <w:rFonts w:ascii="Times New Roman" w:hAnsi="Times New Roman" w:cs="Times New Roman"/>
              </w:rPr>
            </w:pPr>
            <w:r w:rsidRPr="00A468D4">
              <w:rPr>
                <w:rFonts w:ascii="Times New Roman" w:hAnsi="Times New Roman" w:cs="Times New Roman"/>
              </w:rPr>
              <w:t>3.74</w:t>
            </w:r>
          </w:p>
        </w:tc>
      </w:tr>
    </w:tbl>
    <w:p w14:paraId="0E84BC54" w14:textId="77777777" w:rsidR="00A468D4" w:rsidRPr="00A468D4" w:rsidRDefault="00A468D4" w:rsidP="00A468D4">
      <w:pPr>
        <w:rPr>
          <w:rFonts w:ascii="Times New Roman" w:hAnsi="Times New Roman" w:cs="Times New Roman"/>
          <w:sz w:val="24"/>
          <w:szCs w:val="24"/>
        </w:rPr>
      </w:pPr>
    </w:p>
    <w:p w14:paraId="7F5BF90A" w14:textId="6F234AFB" w:rsidR="00A468D4" w:rsidRPr="00A42A15" w:rsidRDefault="00A468D4" w:rsidP="004E3CB7">
      <w:pPr>
        <w:rPr>
          <w:rFonts w:ascii="Times New Roman" w:hAnsi="Times New Roman" w:cs="Times New Roman"/>
          <w:sz w:val="24"/>
          <w:szCs w:val="24"/>
        </w:rPr>
      </w:pPr>
      <w:r w:rsidRPr="00A468D4">
        <w:rPr>
          <w:rFonts w:ascii="Times New Roman" w:hAnsi="Times New Roman" w:cs="Times New Roman"/>
          <w:sz w:val="24"/>
          <w:szCs w:val="24"/>
        </w:rPr>
        <w:t>As evidenced by the above chart, for</w:t>
      </w:r>
      <w:r w:rsidR="006039F3">
        <w:rPr>
          <w:rFonts w:ascii="Times New Roman" w:hAnsi="Times New Roman" w:cs="Times New Roman"/>
          <w:sz w:val="24"/>
          <w:szCs w:val="24"/>
        </w:rPr>
        <w:t xml:space="preserve"> academic year</w:t>
      </w:r>
      <w:r w:rsidRPr="00A468D4">
        <w:rPr>
          <w:rFonts w:ascii="Times New Roman" w:hAnsi="Times New Roman" w:cs="Times New Roman"/>
          <w:sz w:val="24"/>
          <w:szCs w:val="24"/>
        </w:rPr>
        <w:t xml:space="preserve"> 2019-2020</w:t>
      </w:r>
      <w:r w:rsidR="006039F3">
        <w:rPr>
          <w:rFonts w:ascii="Times New Roman" w:hAnsi="Times New Roman" w:cs="Times New Roman"/>
          <w:sz w:val="24"/>
          <w:szCs w:val="24"/>
        </w:rPr>
        <w:t>,</w:t>
      </w:r>
      <w:r w:rsidRPr="00A468D4">
        <w:rPr>
          <w:rFonts w:ascii="Times New Roman" w:hAnsi="Times New Roman" w:cs="Times New Roman"/>
          <w:sz w:val="24"/>
          <w:szCs w:val="24"/>
        </w:rPr>
        <w:t xml:space="preserve"> C</w:t>
      </w:r>
      <w:r w:rsidR="004E7BDC">
        <w:rPr>
          <w:rFonts w:ascii="Times New Roman" w:hAnsi="Times New Roman" w:cs="Times New Roman"/>
          <w:sz w:val="24"/>
          <w:szCs w:val="24"/>
        </w:rPr>
        <w:t>ounseling Program</w:t>
      </w:r>
      <w:r w:rsidRPr="00A468D4">
        <w:rPr>
          <w:rFonts w:ascii="Times New Roman" w:hAnsi="Times New Roman" w:cs="Times New Roman"/>
          <w:sz w:val="24"/>
          <w:szCs w:val="24"/>
        </w:rPr>
        <w:t xml:space="preserve"> students</w:t>
      </w:r>
      <w:r w:rsidR="004E7BDC">
        <w:rPr>
          <w:rFonts w:ascii="Times New Roman" w:hAnsi="Times New Roman" w:cs="Times New Roman"/>
          <w:sz w:val="24"/>
          <w:szCs w:val="24"/>
        </w:rPr>
        <w:t>,</w:t>
      </w:r>
      <w:r w:rsidRPr="00A468D4">
        <w:rPr>
          <w:rFonts w:ascii="Times New Roman" w:hAnsi="Times New Roman" w:cs="Times New Roman"/>
          <w:sz w:val="24"/>
          <w:szCs w:val="24"/>
        </w:rPr>
        <w:t xml:space="preserve"> on average</w:t>
      </w:r>
      <w:r w:rsidR="004E7BDC">
        <w:rPr>
          <w:rFonts w:ascii="Times New Roman" w:hAnsi="Times New Roman" w:cs="Times New Roman"/>
          <w:sz w:val="24"/>
          <w:szCs w:val="24"/>
        </w:rPr>
        <w:t>,</w:t>
      </w:r>
      <w:r w:rsidRPr="00A468D4">
        <w:rPr>
          <w:rFonts w:ascii="Times New Roman" w:hAnsi="Times New Roman" w:cs="Times New Roman"/>
          <w:sz w:val="24"/>
          <w:szCs w:val="24"/>
        </w:rPr>
        <w:t xml:space="preserve"> scored above the Meets Expectations/Demonstrates Competencies category (3.0), and each semester students increased scores from the midterm to the final evaluation towards the Exceeds Expectations/Demonstrates Competencies category (4.0).</w:t>
      </w:r>
    </w:p>
    <w:p w14:paraId="4E826092" w14:textId="6ADE29FA" w:rsidR="00E62408" w:rsidRPr="00A42A15" w:rsidRDefault="00AE6F38" w:rsidP="00172C95">
      <w:pPr>
        <w:rPr>
          <w:rFonts w:ascii="Times New Roman" w:hAnsi="Times New Roman" w:cs="Times New Roman"/>
          <w:b/>
          <w:bCs/>
          <w:sz w:val="24"/>
          <w:szCs w:val="24"/>
        </w:rPr>
      </w:pPr>
      <w:r w:rsidRPr="00A42A15">
        <w:rPr>
          <w:rFonts w:ascii="Times New Roman" w:hAnsi="Times New Roman" w:cs="Times New Roman"/>
          <w:b/>
          <w:bCs/>
          <w:sz w:val="24"/>
          <w:szCs w:val="24"/>
        </w:rPr>
        <w:t>Non-Academic Program Outcomes</w:t>
      </w:r>
      <w:r w:rsidR="008358D6" w:rsidRPr="00A42A15">
        <w:rPr>
          <w:rFonts w:ascii="Times New Roman" w:hAnsi="Times New Roman" w:cs="Times New Roman"/>
          <w:b/>
          <w:bCs/>
          <w:sz w:val="24"/>
          <w:szCs w:val="24"/>
        </w:rPr>
        <w:t>:</w:t>
      </w:r>
    </w:p>
    <w:p w14:paraId="15137781" w14:textId="780A8FD9" w:rsidR="009A4B4E" w:rsidRDefault="00922C52" w:rsidP="00172C95">
      <w:pPr>
        <w:rPr>
          <w:rFonts w:ascii="Times New Roman" w:hAnsi="Times New Roman" w:cs="Times New Roman"/>
          <w:b/>
          <w:bCs/>
          <w:sz w:val="24"/>
          <w:szCs w:val="24"/>
        </w:rPr>
      </w:pPr>
      <w:r>
        <w:rPr>
          <w:rFonts w:ascii="Times New Roman" w:hAnsi="Times New Roman" w:cs="Times New Roman"/>
          <w:sz w:val="24"/>
          <w:szCs w:val="24"/>
        </w:rPr>
        <w:t>All (100%)</w:t>
      </w:r>
      <w:r w:rsidR="008358D6" w:rsidRPr="00A42A15">
        <w:rPr>
          <w:rFonts w:ascii="Times New Roman" w:hAnsi="Times New Roman" w:cs="Times New Roman"/>
          <w:sz w:val="24"/>
          <w:szCs w:val="24"/>
        </w:rPr>
        <w:t xml:space="preserve"> students who graduated</w:t>
      </w:r>
      <w:r>
        <w:rPr>
          <w:rFonts w:ascii="Times New Roman" w:hAnsi="Times New Roman" w:cs="Times New Roman"/>
          <w:sz w:val="24"/>
          <w:szCs w:val="24"/>
        </w:rPr>
        <w:t xml:space="preserve"> in</w:t>
      </w:r>
      <w:r w:rsidR="008358D6" w:rsidRPr="00A42A15">
        <w:rPr>
          <w:rFonts w:ascii="Times New Roman" w:hAnsi="Times New Roman" w:cs="Times New Roman"/>
          <w:sz w:val="24"/>
          <w:szCs w:val="24"/>
        </w:rPr>
        <w:t xml:space="preserve"> 2019-2020 presented at a counseling or related conference (the majority of these students presented at</w:t>
      </w:r>
      <w:r w:rsidR="003F218A" w:rsidRPr="00A42A15">
        <w:rPr>
          <w:rFonts w:ascii="Times New Roman" w:hAnsi="Times New Roman" w:cs="Times New Roman"/>
          <w:sz w:val="24"/>
          <w:szCs w:val="24"/>
        </w:rPr>
        <w:t xml:space="preserve"> the 2019 ALCA annual conference). </w:t>
      </w:r>
      <w:r w:rsidR="001272CB">
        <w:rPr>
          <w:rFonts w:ascii="Times New Roman" w:hAnsi="Times New Roman" w:cs="Times New Roman"/>
          <w:sz w:val="24"/>
          <w:szCs w:val="24"/>
        </w:rPr>
        <w:t>All</w:t>
      </w:r>
      <w:r w:rsidR="008358D6" w:rsidRPr="00A42A15">
        <w:rPr>
          <w:rFonts w:ascii="Times New Roman" w:hAnsi="Times New Roman" w:cs="Times New Roman"/>
          <w:sz w:val="24"/>
          <w:szCs w:val="24"/>
        </w:rPr>
        <w:t xml:space="preserve"> students </w:t>
      </w:r>
      <w:r w:rsidR="003F218A" w:rsidRPr="00A42A15">
        <w:rPr>
          <w:rFonts w:ascii="Times New Roman" w:hAnsi="Times New Roman" w:cs="Times New Roman"/>
          <w:sz w:val="24"/>
          <w:szCs w:val="24"/>
        </w:rPr>
        <w:t xml:space="preserve">who graduated </w:t>
      </w:r>
      <w:r w:rsidR="000C1118" w:rsidRPr="00A42A15">
        <w:rPr>
          <w:rFonts w:ascii="Times New Roman" w:hAnsi="Times New Roman" w:cs="Times New Roman"/>
          <w:sz w:val="24"/>
          <w:szCs w:val="24"/>
        </w:rPr>
        <w:t>completed eight</w:t>
      </w:r>
      <w:r w:rsidR="008358D6" w:rsidRPr="00A42A15">
        <w:rPr>
          <w:rFonts w:ascii="Times New Roman" w:hAnsi="Times New Roman" w:cs="Times New Roman"/>
          <w:sz w:val="24"/>
          <w:szCs w:val="24"/>
        </w:rPr>
        <w:t xml:space="preserve"> counseling sessions prior to starting </w:t>
      </w:r>
      <w:r w:rsidR="00F50673">
        <w:rPr>
          <w:rFonts w:ascii="Times New Roman" w:hAnsi="Times New Roman" w:cs="Times New Roman"/>
          <w:sz w:val="24"/>
          <w:szCs w:val="24"/>
        </w:rPr>
        <w:t>clinical courses</w:t>
      </w:r>
      <w:r w:rsidR="008358D6" w:rsidRPr="00A42A15">
        <w:rPr>
          <w:rFonts w:ascii="Times New Roman" w:hAnsi="Times New Roman" w:cs="Times New Roman"/>
          <w:sz w:val="24"/>
          <w:szCs w:val="24"/>
        </w:rPr>
        <w:t>.</w:t>
      </w:r>
      <w:r w:rsidR="000C1118" w:rsidRPr="00A42A15">
        <w:rPr>
          <w:rFonts w:ascii="Times New Roman" w:hAnsi="Times New Roman" w:cs="Times New Roman"/>
          <w:sz w:val="24"/>
          <w:szCs w:val="24"/>
        </w:rPr>
        <w:t xml:space="preserve"> </w:t>
      </w:r>
      <w:r w:rsidR="001272CB">
        <w:rPr>
          <w:rFonts w:ascii="Times New Roman" w:hAnsi="Times New Roman" w:cs="Times New Roman"/>
          <w:sz w:val="24"/>
          <w:szCs w:val="24"/>
        </w:rPr>
        <w:t>All</w:t>
      </w:r>
      <w:r w:rsidR="000C1118" w:rsidRPr="00A42A15">
        <w:rPr>
          <w:rFonts w:ascii="Times New Roman" w:hAnsi="Times New Roman" w:cs="Times New Roman"/>
          <w:sz w:val="24"/>
          <w:szCs w:val="24"/>
        </w:rPr>
        <w:t xml:space="preserve"> students </w:t>
      </w:r>
      <w:r w:rsidR="00D804B3" w:rsidRPr="00A42A15">
        <w:rPr>
          <w:rFonts w:ascii="Times New Roman" w:hAnsi="Times New Roman" w:cs="Times New Roman"/>
          <w:sz w:val="24"/>
          <w:szCs w:val="24"/>
        </w:rPr>
        <w:t>who graduated during this academic period completed 15 hours of professional development training while enrolled in the UAB counseling program.</w:t>
      </w:r>
    </w:p>
    <w:p w14:paraId="1E92C1EC" w14:textId="42A6D3AD" w:rsidR="00E6200B" w:rsidRPr="00A42A15" w:rsidRDefault="00E6200B" w:rsidP="00172C95">
      <w:pPr>
        <w:rPr>
          <w:rFonts w:ascii="Times New Roman" w:hAnsi="Times New Roman" w:cs="Times New Roman"/>
          <w:b/>
          <w:bCs/>
          <w:sz w:val="24"/>
          <w:szCs w:val="24"/>
        </w:rPr>
      </w:pPr>
      <w:r w:rsidRPr="00A42A15">
        <w:rPr>
          <w:rFonts w:ascii="Times New Roman" w:hAnsi="Times New Roman" w:cs="Times New Roman"/>
          <w:b/>
          <w:bCs/>
          <w:sz w:val="24"/>
          <w:szCs w:val="24"/>
        </w:rPr>
        <w:t>Faculty Changes</w:t>
      </w:r>
      <w:r w:rsidR="00BC12DB" w:rsidRPr="00A42A15">
        <w:rPr>
          <w:rFonts w:ascii="Times New Roman" w:hAnsi="Times New Roman" w:cs="Times New Roman"/>
          <w:b/>
          <w:bCs/>
          <w:sz w:val="24"/>
          <w:szCs w:val="24"/>
        </w:rPr>
        <w:t xml:space="preserve"> in 2019-2020 academic year</w:t>
      </w:r>
      <w:r w:rsidRPr="00A42A15">
        <w:rPr>
          <w:rFonts w:ascii="Times New Roman" w:hAnsi="Times New Roman" w:cs="Times New Roman"/>
          <w:b/>
          <w:bCs/>
          <w:sz w:val="24"/>
          <w:szCs w:val="24"/>
        </w:rPr>
        <w:t xml:space="preserve">: </w:t>
      </w:r>
    </w:p>
    <w:p w14:paraId="73805CFA" w14:textId="1A2B1B71" w:rsidR="00E6200B" w:rsidRPr="00A42A15" w:rsidRDefault="00E6200B" w:rsidP="00172C95">
      <w:pPr>
        <w:rPr>
          <w:rFonts w:ascii="Times New Roman" w:hAnsi="Times New Roman" w:cs="Times New Roman"/>
          <w:sz w:val="24"/>
          <w:szCs w:val="24"/>
        </w:rPr>
      </w:pPr>
      <w:r w:rsidRPr="00A42A15">
        <w:rPr>
          <w:rFonts w:ascii="Times New Roman" w:hAnsi="Times New Roman" w:cs="Times New Roman"/>
          <w:sz w:val="24"/>
          <w:szCs w:val="24"/>
        </w:rPr>
        <w:t>The program hired two visiting instructors for the 2019-2020 academic year, Dr. Sara Lappan and Dr. Danielle Pester</w:t>
      </w:r>
      <w:r w:rsidR="007C7601" w:rsidRPr="00A42A15">
        <w:rPr>
          <w:rFonts w:ascii="Times New Roman" w:hAnsi="Times New Roman" w:cs="Times New Roman"/>
          <w:sz w:val="24"/>
          <w:szCs w:val="24"/>
        </w:rPr>
        <w:t xml:space="preserve"> due to rising </w:t>
      </w:r>
      <w:r w:rsidR="00B7123E">
        <w:rPr>
          <w:rFonts w:ascii="Times New Roman" w:hAnsi="Times New Roman" w:cs="Times New Roman"/>
          <w:sz w:val="24"/>
          <w:szCs w:val="24"/>
        </w:rPr>
        <w:t xml:space="preserve">application and </w:t>
      </w:r>
      <w:r w:rsidR="007C7601" w:rsidRPr="00A42A15">
        <w:rPr>
          <w:rFonts w:ascii="Times New Roman" w:hAnsi="Times New Roman" w:cs="Times New Roman"/>
          <w:sz w:val="24"/>
          <w:szCs w:val="24"/>
        </w:rPr>
        <w:t>enrollment numbers and a failed faculty search</w:t>
      </w:r>
      <w:r w:rsidR="00B17A2F" w:rsidRPr="00A42A15">
        <w:rPr>
          <w:rFonts w:ascii="Times New Roman" w:hAnsi="Times New Roman" w:cs="Times New Roman"/>
          <w:sz w:val="24"/>
          <w:szCs w:val="24"/>
        </w:rPr>
        <w:t>. The other full-time program faculty</w:t>
      </w:r>
      <w:r w:rsidR="008E7C9A" w:rsidRPr="00A42A15">
        <w:rPr>
          <w:rFonts w:ascii="Times New Roman" w:hAnsi="Times New Roman" w:cs="Times New Roman"/>
          <w:sz w:val="24"/>
          <w:szCs w:val="24"/>
        </w:rPr>
        <w:t xml:space="preserve"> in academic year</w:t>
      </w:r>
      <w:r w:rsidR="00B17A2F" w:rsidRPr="00A42A15">
        <w:rPr>
          <w:rFonts w:ascii="Times New Roman" w:hAnsi="Times New Roman" w:cs="Times New Roman"/>
          <w:sz w:val="24"/>
          <w:szCs w:val="24"/>
        </w:rPr>
        <w:t xml:space="preserve"> 2019-2020 consisted of Dr. Sean Hall, Assistant Professor</w:t>
      </w:r>
      <w:r w:rsidR="008C17AE" w:rsidRPr="00A42A15">
        <w:rPr>
          <w:rFonts w:ascii="Times New Roman" w:hAnsi="Times New Roman" w:cs="Times New Roman"/>
          <w:sz w:val="24"/>
          <w:szCs w:val="24"/>
        </w:rPr>
        <w:t xml:space="preserve"> and</w:t>
      </w:r>
      <w:r w:rsidR="00B17A2F" w:rsidRPr="00A42A15">
        <w:rPr>
          <w:rFonts w:ascii="Times New Roman" w:hAnsi="Times New Roman" w:cs="Times New Roman"/>
          <w:sz w:val="24"/>
          <w:szCs w:val="24"/>
        </w:rPr>
        <w:t xml:space="preserve"> Clinic Director, Dr. Shannon McCarthy, Assistant Professor, Dr. </w:t>
      </w:r>
      <w:r w:rsidR="00B17A2F" w:rsidRPr="00A42A15">
        <w:rPr>
          <w:rFonts w:ascii="Times New Roman" w:hAnsi="Times New Roman" w:cs="Times New Roman"/>
          <w:sz w:val="24"/>
          <w:szCs w:val="24"/>
        </w:rPr>
        <w:lastRenderedPageBreak/>
        <w:t>Larry Tyson, Associate Professor, and Dr. Dayna Watson, Assistant Professor</w:t>
      </w:r>
      <w:r w:rsidR="008C17AE" w:rsidRPr="00A42A15">
        <w:rPr>
          <w:rFonts w:ascii="Times New Roman" w:hAnsi="Times New Roman" w:cs="Times New Roman"/>
          <w:sz w:val="24"/>
          <w:szCs w:val="24"/>
        </w:rPr>
        <w:t xml:space="preserve"> and </w:t>
      </w:r>
      <w:r w:rsidR="00B17A2F" w:rsidRPr="00A42A15">
        <w:rPr>
          <w:rFonts w:ascii="Times New Roman" w:hAnsi="Times New Roman" w:cs="Times New Roman"/>
          <w:sz w:val="24"/>
          <w:szCs w:val="24"/>
        </w:rPr>
        <w:t>Program Coordinator.</w:t>
      </w:r>
    </w:p>
    <w:p w14:paraId="713E04E3" w14:textId="483D6D9E" w:rsidR="00B17A2F" w:rsidRPr="00A42A15" w:rsidRDefault="00B17A2F" w:rsidP="00172C95">
      <w:pPr>
        <w:rPr>
          <w:rFonts w:ascii="Times New Roman" w:hAnsi="Times New Roman" w:cs="Times New Roman"/>
          <w:sz w:val="24"/>
          <w:szCs w:val="24"/>
        </w:rPr>
      </w:pPr>
      <w:r w:rsidRPr="00A42A15">
        <w:rPr>
          <w:rFonts w:ascii="Times New Roman" w:hAnsi="Times New Roman" w:cs="Times New Roman"/>
          <w:sz w:val="24"/>
          <w:szCs w:val="24"/>
        </w:rPr>
        <w:t xml:space="preserve">A school counseling faculty search was conducted through the 2019-2020 academic year, but </w:t>
      </w:r>
      <w:r w:rsidR="001272CB">
        <w:rPr>
          <w:rFonts w:ascii="Times New Roman" w:hAnsi="Times New Roman" w:cs="Times New Roman"/>
          <w:sz w:val="24"/>
          <w:szCs w:val="24"/>
        </w:rPr>
        <w:t>the search was unsuccessful and did</w:t>
      </w:r>
      <w:r w:rsidRPr="00A42A15">
        <w:rPr>
          <w:rFonts w:ascii="Times New Roman" w:hAnsi="Times New Roman" w:cs="Times New Roman"/>
          <w:sz w:val="24"/>
          <w:szCs w:val="24"/>
        </w:rPr>
        <w:t xml:space="preserve"> not result in a hire.</w:t>
      </w:r>
    </w:p>
    <w:p w14:paraId="09875185" w14:textId="476E6ECA" w:rsidR="00B17A2F" w:rsidRPr="00A42A15" w:rsidRDefault="00B17A2F" w:rsidP="00172C95">
      <w:pPr>
        <w:rPr>
          <w:rFonts w:ascii="Times New Roman" w:hAnsi="Times New Roman" w:cs="Times New Roman"/>
          <w:sz w:val="24"/>
          <w:szCs w:val="24"/>
        </w:rPr>
      </w:pPr>
      <w:r w:rsidRPr="00A42A15">
        <w:rPr>
          <w:rFonts w:ascii="Times New Roman" w:hAnsi="Times New Roman" w:cs="Times New Roman"/>
          <w:sz w:val="24"/>
          <w:szCs w:val="24"/>
        </w:rPr>
        <w:t>In Summer 2020, Dr. Larry Tyson retired, and Dr. Sean Hall left the UAB Counseling Program</w:t>
      </w:r>
      <w:r w:rsidR="00244D28" w:rsidRPr="00A42A15">
        <w:rPr>
          <w:rFonts w:ascii="Times New Roman" w:hAnsi="Times New Roman" w:cs="Times New Roman"/>
          <w:sz w:val="24"/>
          <w:szCs w:val="24"/>
        </w:rPr>
        <w:t xml:space="preserve"> for another </w:t>
      </w:r>
      <w:r w:rsidR="001272CB">
        <w:rPr>
          <w:rFonts w:ascii="Times New Roman" w:hAnsi="Times New Roman" w:cs="Times New Roman"/>
          <w:sz w:val="24"/>
          <w:szCs w:val="24"/>
        </w:rPr>
        <w:t xml:space="preserve">professional </w:t>
      </w:r>
      <w:r w:rsidR="00244D28" w:rsidRPr="00A42A15">
        <w:rPr>
          <w:rFonts w:ascii="Times New Roman" w:hAnsi="Times New Roman" w:cs="Times New Roman"/>
          <w:sz w:val="24"/>
          <w:szCs w:val="24"/>
        </w:rPr>
        <w:t>opportunity</w:t>
      </w:r>
      <w:r w:rsidR="006414D2" w:rsidRPr="00A42A15">
        <w:rPr>
          <w:rFonts w:ascii="Times New Roman" w:hAnsi="Times New Roman" w:cs="Times New Roman"/>
          <w:sz w:val="24"/>
          <w:szCs w:val="24"/>
        </w:rPr>
        <w:t>.</w:t>
      </w:r>
      <w:r w:rsidR="008120AE" w:rsidRPr="00A42A15">
        <w:rPr>
          <w:rFonts w:ascii="Times New Roman" w:hAnsi="Times New Roman" w:cs="Times New Roman"/>
          <w:sz w:val="24"/>
          <w:szCs w:val="24"/>
        </w:rPr>
        <w:t xml:space="preserve"> Dr. Shannon McCarthy</w:t>
      </w:r>
      <w:r w:rsidR="00C10CCB" w:rsidRPr="00A42A15">
        <w:rPr>
          <w:rFonts w:ascii="Times New Roman" w:hAnsi="Times New Roman" w:cs="Times New Roman"/>
          <w:sz w:val="24"/>
          <w:szCs w:val="24"/>
        </w:rPr>
        <w:t xml:space="preserve"> was named the Interim Executive Director of the Community Counseling Clinic</w:t>
      </w:r>
      <w:r w:rsidR="001272CB">
        <w:rPr>
          <w:rFonts w:ascii="Times New Roman" w:hAnsi="Times New Roman" w:cs="Times New Roman"/>
          <w:sz w:val="24"/>
          <w:szCs w:val="24"/>
        </w:rPr>
        <w:t xml:space="preserve"> (CCC)</w:t>
      </w:r>
      <w:r w:rsidR="00C10CCB" w:rsidRPr="00A42A15">
        <w:rPr>
          <w:rFonts w:ascii="Times New Roman" w:hAnsi="Times New Roman" w:cs="Times New Roman"/>
          <w:sz w:val="24"/>
          <w:szCs w:val="24"/>
        </w:rPr>
        <w:t xml:space="preserve"> as well as the CACREP Liaison, Dr. Sara Lappan was named the</w:t>
      </w:r>
      <w:r w:rsidR="00D1688B" w:rsidRPr="00A42A15">
        <w:rPr>
          <w:rFonts w:ascii="Times New Roman" w:hAnsi="Times New Roman" w:cs="Times New Roman"/>
          <w:sz w:val="24"/>
          <w:szCs w:val="24"/>
        </w:rPr>
        <w:t xml:space="preserve"> Interim</w:t>
      </w:r>
      <w:r w:rsidR="00C10CCB" w:rsidRPr="00A42A15">
        <w:rPr>
          <w:rFonts w:ascii="Times New Roman" w:hAnsi="Times New Roman" w:cs="Times New Roman"/>
          <w:sz w:val="24"/>
          <w:szCs w:val="24"/>
        </w:rPr>
        <w:t xml:space="preserve"> </w:t>
      </w:r>
      <w:r w:rsidR="00584FDB" w:rsidRPr="00A42A15">
        <w:rPr>
          <w:rFonts w:ascii="Times New Roman" w:hAnsi="Times New Roman" w:cs="Times New Roman"/>
          <w:sz w:val="24"/>
          <w:szCs w:val="24"/>
        </w:rPr>
        <w:t>Clinical Director of the CCC, and Dr. Dayna Watson took over duties as</w:t>
      </w:r>
      <w:r w:rsidR="00E01163">
        <w:rPr>
          <w:rFonts w:ascii="Times New Roman" w:hAnsi="Times New Roman" w:cs="Times New Roman"/>
          <w:sz w:val="24"/>
          <w:szCs w:val="24"/>
        </w:rPr>
        <w:t xml:space="preserve"> Chapter Faculty Advisor for</w:t>
      </w:r>
      <w:r w:rsidR="00584288">
        <w:rPr>
          <w:rFonts w:ascii="Times New Roman" w:hAnsi="Times New Roman" w:cs="Times New Roman"/>
          <w:sz w:val="24"/>
          <w:szCs w:val="24"/>
        </w:rPr>
        <w:t xml:space="preserve"> Chi Sigma Iota</w:t>
      </w:r>
      <w:r w:rsidR="00584FDB" w:rsidRPr="00A42A15">
        <w:rPr>
          <w:rFonts w:ascii="Times New Roman" w:hAnsi="Times New Roman" w:cs="Times New Roman"/>
          <w:sz w:val="24"/>
          <w:szCs w:val="24"/>
        </w:rPr>
        <w:t xml:space="preserve"> </w:t>
      </w:r>
      <w:r w:rsidR="00584288">
        <w:rPr>
          <w:rFonts w:ascii="Times New Roman" w:hAnsi="Times New Roman" w:cs="Times New Roman"/>
          <w:sz w:val="24"/>
          <w:szCs w:val="24"/>
        </w:rPr>
        <w:t>(</w:t>
      </w:r>
      <w:r w:rsidR="00584FDB" w:rsidRPr="00A42A15">
        <w:rPr>
          <w:rFonts w:ascii="Times New Roman" w:hAnsi="Times New Roman" w:cs="Times New Roman"/>
          <w:sz w:val="24"/>
          <w:szCs w:val="24"/>
        </w:rPr>
        <w:t>CSI</w:t>
      </w:r>
      <w:r w:rsidR="00584288">
        <w:rPr>
          <w:rFonts w:ascii="Times New Roman" w:hAnsi="Times New Roman" w:cs="Times New Roman"/>
          <w:sz w:val="24"/>
          <w:szCs w:val="24"/>
        </w:rPr>
        <w:t>)</w:t>
      </w:r>
      <w:r w:rsidR="00584FDB" w:rsidRPr="00A42A15">
        <w:rPr>
          <w:rFonts w:ascii="Times New Roman" w:hAnsi="Times New Roman" w:cs="Times New Roman"/>
          <w:sz w:val="24"/>
          <w:szCs w:val="24"/>
        </w:rPr>
        <w:t xml:space="preserve"> </w:t>
      </w:r>
      <w:r w:rsidR="00694CD1" w:rsidRPr="00A42A15">
        <w:rPr>
          <w:rFonts w:ascii="Times New Roman" w:hAnsi="Times New Roman" w:cs="Times New Roman"/>
          <w:sz w:val="24"/>
          <w:szCs w:val="24"/>
        </w:rPr>
        <w:t xml:space="preserve">Zeta </w:t>
      </w:r>
      <w:r w:rsidR="00584FDB" w:rsidRPr="00A42A15">
        <w:rPr>
          <w:rFonts w:ascii="Times New Roman" w:hAnsi="Times New Roman" w:cs="Times New Roman"/>
          <w:sz w:val="24"/>
          <w:szCs w:val="24"/>
        </w:rPr>
        <w:t>Chapter</w:t>
      </w:r>
      <w:r w:rsidR="00E01163">
        <w:rPr>
          <w:rFonts w:ascii="Times New Roman" w:hAnsi="Times New Roman" w:cs="Times New Roman"/>
          <w:sz w:val="24"/>
          <w:szCs w:val="24"/>
        </w:rPr>
        <w:t>, UAB’s chapter of the international counseling honor society.</w:t>
      </w:r>
    </w:p>
    <w:p w14:paraId="1553AE94" w14:textId="34909C25" w:rsidR="00B17A2F" w:rsidRPr="00A42A15" w:rsidRDefault="00B17A2F" w:rsidP="00172C95">
      <w:pPr>
        <w:rPr>
          <w:rFonts w:ascii="Times New Roman" w:hAnsi="Times New Roman" w:cs="Times New Roman"/>
          <w:b/>
          <w:bCs/>
          <w:sz w:val="24"/>
          <w:szCs w:val="24"/>
        </w:rPr>
      </w:pPr>
      <w:r w:rsidRPr="00A42A15">
        <w:rPr>
          <w:rFonts w:ascii="Times New Roman" w:hAnsi="Times New Roman" w:cs="Times New Roman"/>
          <w:b/>
          <w:bCs/>
          <w:sz w:val="24"/>
          <w:szCs w:val="24"/>
        </w:rPr>
        <w:t>Curriculum Changes:</w:t>
      </w:r>
    </w:p>
    <w:p w14:paraId="2AC31494" w14:textId="1149661A" w:rsidR="00B17A2F" w:rsidRPr="00A42A15" w:rsidRDefault="00DD6E00" w:rsidP="00172C95">
      <w:pPr>
        <w:rPr>
          <w:rFonts w:ascii="Times New Roman" w:hAnsi="Times New Roman" w:cs="Times New Roman"/>
          <w:sz w:val="24"/>
          <w:szCs w:val="24"/>
        </w:rPr>
      </w:pPr>
      <w:r w:rsidRPr="00A42A15">
        <w:rPr>
          <w:rFonts w:ascii="Times New Roman" w:hAnsi="Times New Roman" w:cs="Times New Roman"/>
          <w:sz w:val="24"/>
          <w:szCs w:val="24"/>
        </w:rPr>
        <w:t>Due to the popularity of</w:t>
      </w:r>
      <w:r w:rsidR="00694CD1" w:rsidRPr="00A42A15">
        <w:rPr>
          <w:rFonts w:ascii="Times New Roman" w:hAnsi="Times New Roman" w:cs="Times New Roman"/>
          <w:sz w:val="24"/>
          <w:szCs w:val="24"/>
        </w:rPr>
        <w:t xml:space="preserve"> the</w:t>
      </w:r>
      <w:r w:rsidRPr="00A42A15">
        <w:rPr>
          <w:rFonts w:ascii="Times New Roman" w:hAnsi="Times New Roman" w:cs="Times New Roman"/>
          <w:sz w:val="24"/>
          <w:szCs w:val="24"/>
        </w:rPr>
        <w:t xml:space="preserve"> MCF certificate, and feedback from students that offering a CMH certificate may make students more likely to pursue a concentration in Marriage, Couples, and Family Counseling (as they could complete the basic course requirements for both), the UAB Counseling Program submitted an application for a Clinical Mental Health certificate. </w:t>
      </w:r>
      <w:r w:rsidR="00B17A2F" w:rsidRPr="00A42A15">
        <w:rPr>
          <w:rFonts w:ascii="Times New Roman" w:hAnsi="Times New Roman" w:cs="Times New Roman"/>
          <w:sz w:val="24"/>
          <w:szCs w:val="24"/>
        </w:rPr>
        <w:t>In 2019, the Clinical Mental Health Counseling certificate was approved by the UAB Board of Trustees. Th</w:t>
      </w:r>
      <w:r w:rsidR="001272CB">
        <w:rPr>
          <w:rFonts w:ascii="Times New Roman" w:hAnsi="Times New Roman" w:cs="Times New Roman"/>
          <w:sz w:val="24"/>
          <w:szCs w:val="24"/>
        </w:rPr>
        <w:t>e</w:t>
      </w:r>
      <w:r w:rsidR="00B17A2F" w:rsidRPr="00A42A15">
        <w:rPr>
          <w:rFonts w:ascii="Times New Roman" w:hAnsi="Times New Roman" w:cs="Times New Roman"/>
          <w:sz w:val="24"/>
          <w:szCs w:val="24"/>
        </w:rPr>
        <w:t xml:space="preserve"> certificate consists of the 5 core CMH </w:t>
      </w:r>
      <w:r w:rsidR="005A529F" w:rsidRPr="00A42A15">
        <w:rPr>
          <w:rFonts w:ascii="Times New Roman" w:hAnsi="Times New Roman" w:cs="Times New Roman"/>
          <w:sz w:val="24"/>
          <w:szCs w:val="24"/>
        </w:rPr>
        <w:t>courses and</w:t>
      </w:r>
      <w:r w:rsidR="00B17A2F" w:rsidRPr="00A42A15">
        <w:rPr>
          <w:rFonts w:ascii="Times New Roman" w:hAnsi="Times New Roman" w:cs="Times New Roman"/>
          <w:sz w:val="24"/>
          <w:szCs w:val="24"/>
        </w:rPr>
        <w:t xml:space="preserve"> is available to current counseling graduate students concentrating in school counseling and marriage, couples, and family counseling</w:t>
      </w:r>
      <w:r w:rsidR="001272CB">
        <w:rPr>
          <w:rFonts w:ascii="Times New Roman" w:hAnsi="Times New Roman" w:cs="Times New Roman"/>
          <w:sz w:val="24"/>
          <w:szCs w:val="24"/>
        </w:rPr>
        <w:t>, and</w:t>
      </w:r>
      <w:r w:rsidR="00B17A2F" w:rsidRPr="00A42A15">
        <w:rPr>
          <w:rFonts w:ascii="Times New Roman" w:hAnsi="Times New Roman" w:cs="Times New Roman"/>
          <w:sz w:val="24"/>
          <w:szCs w:val="24"/>
        </w:rPr>
        <w:t xml:space="preserve"> practitioners with a master’s degree in school counseling or marriage, couples, and family counseling. Current enrolled students were eligible to pursue the certificate beginning in Fall 2019. </w:t>
      </w:r>
      <w:r w:rsidR="00C43075" w:rsidRPr="00A42A15">
        <w:rPr>
          <w:rFonts w:ascii="Times New Roman" w:hAnsi="Times New Roman" w:cs="Times New Roman"/>
          <w:sz w:val="24"/>
          <w:szCs w:val="24"/>
        </w:rPr>
        <w:t xml:space="preserve">Graduates or external students could apply for the certificate beginning in spring </w:t>
      </w:r>
      <w:r w:rsidR="00151D53" w:rsidRPr="00A42A15">
        <w:rPr>
          <w:rFonts w:ascii="Times New Roman" w:hAnsi="Times New Roman" w:cs="Times New Roman"/>
          <w:sz w:val="24"/>
          <w:szCs w:val="24"/>
        </w:rPr>
        <w:t xml:space="preserve">2020. </w:t>
      </w:r>
      <w:r w:rsidR="00B17A2F" w:rsidRPr="00A42A15">
        <w:rPr>
          <w:rFonts w:ascii="Times New Roman" w:hAnsi="Times New Roman" w:cs="Times New Roman"/>
          <w:sz w:val="24"/>
          <w:szCs w:val="24"/>
        </w:rPr>
        <w:t>The CMH certificate joins the Marriage, Couples, and Family Counseling certificate that has been offered since 2017.</w:t>
      </w:r>
      <w:r w:rsidR="007D468B" w:rsidRPr="00A42A15">
        <w:rPr>
          <w:rFonts w:ascii="Times New Roman" w:hAnsi="Times New Roman" w:cs="Times New Roman"/>
          <w:sz w:val="24"/>
          <w:szCs w:val="24"/>
        </w:rPr>
        <w:t xml:space="preserve"> </w:t>
      </w:r>
    </w:p>
    <w:p w14:paraId="5FDBBF59" w14:textId="47DEC019" w:rsidR="00CF3B63" w:rsidRPr="00A42A15" w:rsidRDefault="00CF3B63" w:rsidP="00172C95">
      <w:pPr>
        <w:rPr>
          <w:rFonts w:ascii="Times New Roman" w:hAnsi="Times New Roman" w:cs="Times New Roman"/>
          <w:sz w:val="24"/>
          <w:szCs w:val="24"/>
        </w:rPr>
      </w:pPr>
      <w:r w:rsidRPr="00A42A15">
        <w:rPr>
          <w:rFonts w:ascii="Times New Roman" w:hAnsi="Times New Roman" w:cs="Times New Roman"/>
          <w:sz w:val="24"/>
          <w:szCs w:val="24"/>
        </w:rPr>
        <w:t xml:space="preserve">In </w:t>
      </w:r>
      <w:r w:rsidR="001272CB">
        <w:rPr>
          <w:rFonts w:ascii="Times New Roman" w:hAnsi="Times New Roman" w:cs="Times New Roman"/>
          <w:sz w:val="24"/>
          <w:szCs w:val="24"/>
        </w:rPr>
        <w:t>Spring</w:t>
      </w:r>
      <w:r w:rsidRPr="00A42A15">
        <w:rPr>
          <w:rFonts w:ascii="Times New Roman" w:hAnsi="Times New Roman" w:cs="Times New Roman"/>
          <w:sz w:val="24"/>
          <w:szCs w:val="24"/>
        </w:rPr>
        <w:t xml:space="preserve"> 2020</w:t>
      </w:r>
      <w:r w:rsidR="004D0830" w:rsidRPr="00A42A15">
        <w:rPr>
          <w:rFonts w:ascii="Times New Roman" w:hAnsi="Times New Roman" w:cs="Times New Roman"/>
          <w:sz w:val="24"/>
          <w:szCs w:val="24"/>
        </w:rPr>
        <w:t>, the entire counseling program curriculum moved online</w:t>
      </w:r>
      <w:r w:rsidR="00223B42" w:rsidRPr="00A42A15">
        <w:rPr>
          <w:rFonts w:ascii="Times New Roman" w:hAnsi="Times New Roman" w:cs="Times New Roman"/>
          <w:sz w:val="24"/>
          <w:szCs w:val="24"/>
        </w:rPr>
        <w:t xml:space="preserve"> (through the remainder of 2020) due to</w:t>
      </w:r>
      <w:r w:rsidR="009277D1" w:rsidRPr="00A42A15">
        <w:rPr>
          <w:rFonts w:ascii="Times New Roman" w:hAnsi="Times New Roman" w:cs="Times New Roman"/>
          <w:sz w:val="24"/>
          <w:szCs w:val="24"/>
        </w:rPr>
        <w:t xml:space="preserve"> UAB</w:t>
      </w:r>
      <w:r w:rsidR="00223B42" w:rsidRPr="00A42A15">
        <w:rPr>
          <w:rFonts w:ascii="Times New Roman" w:hAnsi="Times New Roman" w:cs="Times New Roman"/>
          <w:sz w:val="24"/>
          <w:szCs w:val="24"/>
        </w:rPr>
        <w:t xml:space="preserve"> policies </w:t>
      </w:r>
      <w:r w:rsidR="008120AE" w:rsidRPr="00A42A15">
        <w:rPr>
          <w:rFonts w:ascii="Times New Roman" w:hAnsi="Times New Roman" w:cs="Times New Roman"/>
          <w:sz w:val="24"/>
          <w:szCs w:val="24"/>
        </w:rPr>
        <w:t>in response to</w:t>
      </w:r>
      <w:r w:rsidR="00223B42" w:rsidRPr="00A42A15">
        <w:rPr>
          <w:rFonts w:ascii="Times New Roman" w:hAnsi="Times New Roman" w:cs="Times New Roman"/>
          <w:sz w:val="24"/>
          <w:szCs w:val="24"/>
        </w:rPr>
        <w:t xml:space="preserve"> the C</w:t>
      </w:r>
      <w:r w:rsidR="00D64AA5" w:rsidRPr="00A42A15">
        <w:rPr>
          <w:rFonts w:ascii="Times New Roman" w:hAnsi="Times New Roman" w:cs="Times New Roman"/>
          <w:sz w:val="24"/>
          <w:szCs w:val="24"/>
        </w:rPr>
        <w:t>o</w:t>
      </w:r>
      <w:r w:rsidR="00223B42" w:rsidRPr="00A42A15">
        <w:rPr>
          <w:rFonts w:ascii="Times New Roman" w:hAnsi="Times New Roman" w:cs="Times New Roman"/>
          <w:sz w:val="24"/>
          <w:szCs w:val="24"/>
        </w:rPr>
        <w:t>vid-19 pandemic. Counseling program instructors completed professional development</w:t>
      </w:r>
      <w:r w:rsidR="001B5F9F" w:rsidRPr="00A42A15">
        <w:rPr>
          <w:rFonts w:ascii="Times New Roman" w:hAnsi="Times New Roman" w:cs="Times New Roman"/>
          <w:sz w:val="24"/>
          <w:szCs w:val="24"/>
        </w:rPr>
        <w:t xml:space="preserve"> through program-sponsored workshops, university teaching consultants</w:t>
      </w:r>
      <w:r w:rsidR="00DD1568" w:rsidRPr="00A42A15">
        <w:rPr>
          <w:rFonts w:ascii="Times New Roman" w:hAnsi="Times New Roman" w:cs="Times New Roman"/>
          <w:sz w:val="24"/>
          <w:szCs w:val="24"/>
        </w:rPr>
        <w:t>, peer review of online modules, etc. to ensure that</w:t>
      </w:r>
      <w:r w:rsidR="00140B18" w:rsidRPr="00A42A15">
        <w:rPr>
          <w:rFonts w:ascii="Times New Roman" w:hAnsi="Times New Roman" w:cs="Times New Roman"/>
          <w:sz w:val="24"/>
          <w:szCs w:val="24"/>
        </w:rPr>
        <w:t xml:space="preserve"> course content was being presented according to CACREP </w:t>
      </w:r>
      <w:r w:rsidR="00D64AA5" w:rsidRPr="00A42A15">
        <w:rPr>
          <w:rFonts w:ascii="Times New Roman" w:hAnsi="Times New Roman" w:cs="Times New Roman"/>
          <w:sz w:val="24"/>
          <w:szCs w:val="24"/>
        </w:rPr>
        <w:t>and professional standards.</w:t>
      </w:r>
    </w:p>
    <w:p w14:paraId="61B46F4F" w14:textId="5E8EDBAD" w:rsidR="00B17A2F" w:rsidRPr="00A42A15" w:rsidRDefault="00B17A2F" w:rsidP="00172C95">
      <w:pPr>
        <w:rPr>
          <w:rFonts w:ascii="Times New Roman" w:hAnsi="Times New Roman" w:cs="Times New Roman"/>
          <w:b/>
          <w:bCs/>
          <w:sz w:val="24"/>
          <w:szCs w:val="24"/>
        </w:rPr>
      </w:pPr>
      <w:r w:rsidRPr="00A42A15">
        <w:rPr>
          <w:rFonts w:ascii="Times New Roman" w:hAnsi="Times New Roman" w:cs="Times New Roman"/>
          <w:b/>
          <w:bCs/>
          <w:sz w:val="24"/>
          <w:szCs w:val="24"/>
        </w:rPr>
        <w:t>CACREP Updates:</w:t>
      </w:r>
    </w:p>
    <w:p w14:paraId="68E06A10" w14:textId="3B49A8EE" w:rsidR="004E7BDC" w:rsidRPr="009A4B4E" w:rsidRDefault="00C9348D" w:rsidP="00172C95">
      <w:pPr>
        <w:rPr>
          <w:rFonts w:ascii="Times New Roman" w:hAnsi="Times New Roman" w:cs="Times New Roman"/>
          <w:sz w:val="24"/>
          <w:szCs w:val="24"/>
        </w:rPr>
      </w:pPr>
      <w:r w:rsidRPr="00A42A15">
        <w:rPr>
          <w:rFonts w:ascii="Times New Roman" w:hAnsi="Times New Roman" w:cs="Times New Roman"/>
          <w:sz w:val="24"/>
          <w:szCs w:val="24"/>
        </w:rPr>
        <w:t xml:space="preserve">The UAB Counseling Program submitted </w:t>
      </w:r>
      <w:r w:rsidR="001272CB">
        <w:rPr>
          <w:rFonts w:ascii="Times New Roman" w:hAnsi="Times New Roman" w:cs="Times New Roman"/>
          <w:sz w:val="24"/>
          <w:szCs w:val="24"/>
        </w:rPr>
        <w:t>a</w:t>
      </w:r>
      <w:r w:rsidR="001272CB" w:rsidRPr="00A42A15">
        <w:rPr>
          <w:rFonts w:ascii="Times New Roman" w:hAnsi="Times New Roman" w:cs="Times New Roman"/>
          <w:sz w:val="24"/>
          <w:szCs w:val="24"/>
        </w:rPr>
        <w:t xml:space="preserve"> </w:t>
      </w:r>
      <w:r w:rsidRPr="00A42A15">
        <w:rPr>
          <w:rFonts w:ascii="Times New Roman" w:hAnsi="Times New Roman" w:cs="Times New Roman"/>
          <w:sz w:val="24"/>
          <w:szCs w:val="24"/>
        </w:rPr>
        <w:t xml:space="preserve">CACREP Program report for the Clinical Mental Health Counseling and School Counseling at the end of the initial two-year accreditation period with the goal of obtaining the full 8-year accreditation (this accreditation was awarded in the </w:t>
      </w:r>
      <w:r w:rsidR="005A529F" w:rsidRPr="00A42A15">
        <w:rPr>
          <w:rFonts w:ascii="Times New Roman" w:hAnsi="Times New Roman" w:cs="Times New Roman"/>
          <w:sz w:val="24"/>
          <w:szCs w:val="24"/>
        </w:rPr>
        <w:t>summer of 2020</w:t>
      </w:r>
      <w:r w:rsidR="005A529F">
        <w:rPr>
          <w:rFonts w:ascii="Times New Roman" w:hAnsi="Times New Roman" w:cs="Times New Roman"/>
          <w:sz w:val="24"/>
          <w:szCs w:val="24"/>
        </w:rPr>
        <w:t xml:space="preserve"> and</w:t>
      </w:r>
      <w:r w:rsidR="00D86C29">
        <w:rPr>
          <w:rFonts w:ascii="Times New Roman" w:hAnsi="Times New Roman" w:cs="Times New Roman"/>
          <w:sz w:val="24"/>
          <w:szCs w:val="24"/>
        </w:rPr>
        <w:t xml:space="preserve"> will last for the full term through 20</w:t>
      </w:r>
      <w:r w:rsidR="00726CB2">
        <w:rPr>
          <w:rFonts w:ascii="Times New Roman" w:hAnsi="Times New Roman" w:cs="Times New Roman"/>
          <w:sz w:val="24"/>
          <w:szCs w:val="24"/>
        </w:rPr>
        <w:t>26</w:t>
      </w:r>
      <w:r w:rsidRPr="00A42A15">
        <w:rPr>
          <w:rFonts w:ascii="Times New Roman" w:hAnsi="Times New Roman" w:cs="Times New Roman"/>
          <w:sz w:val="24"/>
          <w:szCs w:val="24"/>
        </w:rPr>
        <w:t xml:space="preserve">). The MCF Self Study was submitted in </w:t>
      </w:r>
      <w:r w:rsidR="001272CB">
        <w:rPr>
          <w:rFonts w:ascii="Times New Roman" w:hAnsi="Times New Roman" w:cs="Times New Roman"/>
          <w:sz w:val="24"/>
          <w:szCs w:val="24"/>
        </w:rPr>
        <w:t>Fall</w:t>
      </w:r>
      <w:r w:rsidRPr="00A42A15">
        <w:rPr>
          <w:rFonts w:ascii="Times New Roman" w:hAnsi="Times New Roman" w:cs="Times New Roman"/>
          <w:sz w:val="24"/>
          <w:szCs w:val="24"/>
        </w:rPr>
        <w:t>2019</w:t>
      </w:r>
      <w:r w:rsidR="008869B6" w:rsidRPr="00A42A15">
        <w:rPr>
          <w:rFonts w:ascii="Times New Roman" w:hAnsi="Times New Roman" w:cs="Times New Roman"/>
          <w:sz w:val="24"/>
          <w:szCs w:val="24"/>
        </w:rPr>
        <w:t xml:space="preserve"> with two addenda submitted in </w:t>
      </w:r>
      <w:r w:rsidR="001272CB">
        <w:rPr>
          <w:rFonts w:ascii="Times New Roman" w:hAnsi="Times New Roman" w:cs="Times New Roman"/>
          <w:sz w:val="24"/>
          <w:szCs w:val="24"/>
        </w:rPr>
        <w:t>S</w:t>
      </w:r>
      <w:r w:rsidR="008869B6" w:rsidRPr="00A42A15">
        <w:rPr>
          <w:rFonts w:ascii="Times New Roman" w:hAnsi="Times New Roman" w:cs="Times New Roman"/>
          <w:sz w:val="24"/>
          <w:szCs w:val="24"/>
        </w:rPr>
        <w:t xml:space="preserve">pring and </w:t>
      </w:r>
      <w:r w:rsidR="001272CB">
        <w:rPr>
          <w:rFonts w:ascii="Times New Roman" w:hAnsi="Times New Roman" w:cs="Times New Roman"/>
          <w:sz w:val="24"/>
          <w:szCs w:val="24"/>
        </w:rPr>
        <w:t>F</w:t>
      </w:r>
      <w:r w:rsidR="008869B6" w:rsidRPr="00A42A15">
        <w:rPr>
          <w:rFonts w:ascii="Times New Roman" w:hAnsi="Times New Roman" w:cs="Times New Roman"/>
          <w:sz w:val="24"/>
          <w:szCs w:val="24"/>
        </w:rPr>
        <w:t>all 2020</w:t>
      </w:r>
      <w:r w:rsidRPr="00A42A15">
        <w:rPr>
          <w:rFonts w:ascii="Times New Roman" w:hAnsi="Times New Roman" w:cs="Times New Roman"/>
          <w:sz w:val="24"/>
          <w:szCs w:val="24"/>
        </w:rPr>
        <w:t>.</w:t>
      </w:r>
    </w:p>
    <w:p w14:paraId="65984893" w14:textId="2E82BED9" w:rsidR="00151D53" w:rsidRPr="00A42A15" w:rsidRDefault="00151D53" w:rsidP="00172C95">
      <w:pPr>
        <w:rPr>
          <w:rFonts w:ascii="Times New Roman" w:hAnsi="Times New Roman" w:cs="Times New Roman"/>
          <w:b/>
          <w:bCs/>
          <w:sz w:val="24"/>
          <w:szCs w:val="24"/>
        </w:rPr>
      </w:pPr>
      <w:r w:rsidRPr="00A42A15">
        <w:rPr>
          <w:rFonts w:ascii="Times New Roman" w:hAnsi="Times New Roman" w:cs="Times New Roman"/>
          <w:b/>
          <w:bCs/>
          <w:sz w:val="24"/>
          <w:szCs w:val="24"/>
        </w:rPr>
        <w:lastRenderedPageBreak/>
        <w:t>Other Program Changes/Events</w:t>
      </w:r>
      <w:r w:rsidR="00F97976">
        <w:rPr>
          <w:rFonts w:ascii="Times New Roman" w:hAnsi="Times New Roman" w:cs="Times New Roman"/>
          <w:b/>
          <w:bCs/>
          <w:sz w:val="24"/>
          <w:szCs w:val="24"/>
        </w:rPr>
        <w:t xml:space="preserve"> (based on student and faculty feedback</w:t>
      </w:r>
      <w:r w:rsidR="00F76D31">
        <w:rPr>
          <w:rFonts w:ascii="Times New Roman" w:hAnsi="Times New Roman" w:cs="Times New Roman"/>
          <w:b/>
          <w:bCs/>
          <w:sz w:val="24"/>
          <w:szCs w:val="24"/>
        </w:rPr>
        <w:t>, program outcome data, etc.)</w:t>
      </w:r>
    </w:p>
    <w:p w14:paraId="7480BD93" w14:textId="13E27AEB" w:rsidR="001B6B13" w:rsidRDefault="00B86824" w:rsidP="008120AE">
      <w:pPr>
        <w:rPr>
          <w:rFonts w:ascii="Times New Roman" w:hAnsi="Times New Roman" w:cs="Times New Roman"/>
          <w:sz w:val="24"/>
          <w:szCs w:val="24"/>
        </w:rPr>
      </w:pPr>
      <w:r>
        <w:rPr>
          <w:rFonts w:ascii="Times New Roman" w:hAnsi="Times New Roman" w:cs="Times New Roman"/>
          <w:sz w:val="24"/>
          <w:szCs w:val="24"/>
        </w:rPr>
        <w:t>Based on student and faculty feedb</w:t>
      </w:r>
      <w:r w:rsidR="00F76D31">
        <w:rPr>
          <w:rFonts w:ascii="Times New Roman" w:hAnsi="Times New Roman" w:cs="Times New Roman"/>
          <w:sz w:val="24"/>
          <w:szCs w:val="24"/>
        </w:rPr>
        <w:t xml:space="preserve">ack, and due to </w:t>
      </w:r>
      <w:r w:rsidR="00BD3F18">
        <w:rPr>
          <w:rFonts w:ascii="Times New Roman" w:hAnsi="Times New Roman" w:cs="Times New Roman"/>
          <w:sz w:val="24"/>
          <w:szCs w:val="24"/>
        </w:rPr>
        <w:t>Covid-19 precautions, the admissions protocol for the UAB CP was amended</w:t>
      </w:r>
      <w:r w:rsidR="005B3295">
        <w:rPr>
          <w:rFonts w:ascii="Times New Roman" w:hAnsi="Times New Roman" w:cs="Times New Roman"/>
          <w:sz w:val="24"/>
          <w:szCs w:val="24"/>
        </w:rPr>
        <w:t xml:space="preserve"> for </w:t>
      </w:r>
      <w:r w:rsidR="00FC32C5">
        <w:rPr>
          <w:rFonts w:ascii="Times New Roman" w:hAnsi="Times New Roman" w:cs="Times New Roman"/>
          <w:sz w:val="24"/>
          <w:szCs w:val="24"/>
        </w:rPr>
        <w:t>S</w:t>
      </w:r>
      <w:r w:rsidR="005B3295">
        <w:rPr>
          <w:rFonts w:ascii="Times New Roman" w:hAnsi="Times New Roman" w:cs="Times New Roman"/>
          <w:sz w:val="24"/>
          <w:szCs w:val="24"/>
        </w:rPr>
        <w:t xml:space="preserve">pring 2020. All admissions interviews took place online </w:t>
      </w:r>
      <w:r w:rsidR="004B16B6">
        <w:rPr>
          <w:rFonts w:ascii="Times New Roman" w:hAnsi="Times New Roman" w:cs="Times New Roman"/>
          <w:sz w:val="24"/>
          <w:szCs w:val="24"/>
        </w:rPr>
        <w:t>where applicants were divided into smaller groups of 4-5 and were interviewed by 2-3 faculty</w:t>
      </w:r>
      <w:r w:rsidR="00A76911">
        <w:rPr>
          <w:rFonts w:ascii="Times New Roman" w:hAnsi="Times New Roman" w:cs="Times New Roman"/>
          <w:sz w:val="24"/>
          <w:szCs w:val="24"/>
        </w:rPr>
        <w:t xml:space="preserve"> members/adjuncts/affiliate faculty. </w:t>
      </w:r>
      <w:r w:rsidR="007402DC">
        <w:rPr>
          <w:rFonts w:ascii="Times New Roman" w:hAnsi="Times New Roman" w:cs="Times New Roman"/>
          <w:sz w:val="24"/>
          <w:szCs w:val="24"/>
        </w:rPr>
        <w:t>I</w:t>
      </w:r>
      <w:r w:rsidR="00A76911">
        <w:rPr>
          <w:rFonts w:ascii="Times New Roman" w:hAnsi="Times New Roman" w:cs="Times New Roman"/>
          <w:sz w:val="24"/>
          <w:szCs w:val="24"/>
        </w:rPr>
        <w:t>nterview questions/topics were also</w:t>
      </w:r>
      <w:r w:rsidR="001B6B13">
        <w:rPr>
          <w:rFonts w:ascii="Times New Roman" w:hAnsi="Times New Roman" w:cs="Times New Roman"/>
          <w:sz w:val="24"/>
          <w:szCs w:val="24"/>
        </w:rPr>
        <w:t xml:space="preserve"> amended to better align with CACREP standards and professional disposition evaluations.</w:t>
      </w:r>
      <w:r w:rsidR="003A36AA">
        <w:rPr>
          <w:rFonts w:ascii="Times New Roman" w:hAnsi="Times New Roman" w:cs="Times New Roman"/>
          <w:sz w:val="24"/>
          <w:szCs w:val="24"/>
        </w:rPr>
        <w:t xml:space="preserve"> CP faculty also added a brief presentation/overview of the program, including the program’s specific mission, values, and requirements, so that students could be better informed when making</w:t>
      </w:r>
      <w:r w:rsidR="00C35AFD">
        <w:rPr>
          <w:rFonts w:ascii="Times New Roman" w:hAnsi="Times New Roman" w:cs="Times New Roman"/>
          <w:sz w:val="24"/>
          <w:szCs w:val="24"/>
        </w:rPr>
        <w:t xml:space="preserve"> their acceptance decisions.</w:t>
      </w:r>
    </w:p>
    <w:p w14:paraId="6AEB6C67" w14:textId="729255A5" w:rsidR="00C9348D" w:rsidRPr="00A42A15" w:rsidRDefault="00151D53" w:rsidP="008120AE">
      <w:pPr>
        <w:rPr>
          <w:rFonts w:ascii="Times New Roman" w:hAnsi="Times New Roman" w:cs="Times New Roman"/>
          <w:sz w:val="24"/>
          <w:szCs w:val="24"/>
        </w:rPr>
      </w:pPr>
      <w:r w:rsidRPr="00A42A15">
        <w:rPr>
          <w:rFonts w:ascii="Times New Roman" w:hAnsi="Times New Roman" w:cs="Times New Roman"/>
          <w:sz w:val="24"/>
          <w:szCs w:val="24"/>
        </w:rPr>
        <w:t>Chi Sigma Iota-Zeta chapter</w:t>
      </w:r>
      <w:r w:rsidR="000E4863" w:rsidRPr="00A42A15">
        <w:rPr>
          <w:rFonts w:ascii="Times New Roman" w:hAnsi="Times New Roman" w:cs="Times New Roman"/>
          <w:sz w:val="24"/>
          <w:szCs w:val="24"/>
        </w:rPr>
        <w:t xml:space="preserve">, the UAB Chapter of the international counseling honor society, began offering </w:t>
      </w:r>
      <w:r w:rsidR="004E7BDC">
        <w:rPr>
          <w:rFonts w:ascii="Times New Roman" w:hAnsi="Times New Roman" w:cs="Times New Roman"/>
          <w:sz w:val="24"/>
          <w:szCs w:val="24"/>
        </w:rPr>
        <w:t>two</w:t>
      </w:r>
      <w:r w:rsidR="000E4863" w:rsidRPr="00A42A15">
        <w:rPr>
          <w:rFonts w:ascii="Times New Roman" w:hAnsi="Times New Roman" w:cs="Times New Roman"/>
          <w:sz w:val="24"/>
          <w:szCs w:val="24"/>
        </w:rPr>
        <w:t xml:space="preserve"> additional scholarship</w:t>
      </w:r>
      <w:r w:rsidR="004E7BDC">
        <w:rPr>
          <w:rFonts w:ascii="Times New Roman" w:hAnsi="Times New Roman" w:cs="Times New Roman"/>
          <w:sz w:val="24"/>
          <w:szCs w:val="24"/>
        </w:rPr>
        <w:t>s</w:t>
      </w:r>
      <w:r w:rsidR="000E4863" w:rsidRPr="00A42A15">
        <w:rPr>
          <w:rFonts w:ascii="Times New Roman" w:hAnsi="Times New Roman" w:cs="Times New Roman"/>
          <w:sz w:val="24"/>
          <w:szCs w:val="24"/>
        </w:rPr>
        <w:t xml:space="preserve"> to UAB Counseling students</w:t>
      </w:r>
      <w:r w:rsidR="005F62E1" w:rsidRPr="00A42A15">
        <w:rPr>
          <w:rFonts w:ascii="Times New Roman" w:hAnsi="Times New Roman" w:cs="Times New Roman"/>
          <w:sz w:val="24"/>
          <w:szCs w:val="24"/>
        </w:rPr>
        <w:t xml:space="preserve"> in </w:t>
      </w:r>
      <w:r w:rsidR="00584288">
        <w:rPr>
          <w:rFonts w:ascii="Times New Roman" w:hAnsi="Times New Roman" w:cs="Times New Roman"/>
          <w:sz w:val="24"/>
          <w:szCs w:val="24"/>
        </w:rPr>
        <w:t>S</w:t>
      </w:r>
      <w:r w:rsidR="005F62E1" w:rsidRPr="00A42A15">
        <w:rPr>
          <w:rFonts w:ascii="Times New Roman" w:hAnsi="Times New Roman" w:cs="Times New Roman"/>
          <w:sz w:val="24"/>
          <w:szCs w:val="24"/>
        </w:rPr>
        <w:t>pring 2020</w:t>
      </w:r>
      <w:r w:rsidR="00151268" w:rsidRPr="00A42A15">
        <w:rPr>
          <w:rFonts w:ascii="Times New Roman" w:hAnsi="Times New Roman" w:cs="Times New Roman"/>
          <w:sz w:val="24"/>
          <w:szCs w:val="24"/>
        </w:rPr>
        <w:t>. Th</w:t>
      </w:r>
      <w:r w:rsidR="004E7BDC">
        <w:rPr>
          <w:rFonts w:ascii="Times New Roman" w:hAnsi="Times New Roman" w:cs="Times New Roman"/>
          <w:sz w:val="24"/>
          <w:szCs w:val="24"/>
        </w:rPr>
        <w:t>e first</w:t>
      </w:r>
      <w:r w:rsidR="00151268" w:rsidRPr="00A42A15">
        <w:rPr>
          <w:rFonts w:ascii="Times New Roman" w:hAnsi="Times New Roman" w:cs="Times New Roman"/>
          <w:sz w:val="24"/>
          <w:szCs w:val="24"/>
        </w:rPr>
        <w:t xml:space="preserve"> scholarship honors students who perform outstanding service to</w:t>
      </w:r>
      <w:r w:rsidR="005F62E1" w:rsidRPr="00A42A15">
        <w:rPr>
          <w:rFonts w:ascii="Times New Roman" w:hAnsi="Times New Roman" w:cs="Times New Roman"/>
          <w:sz w:val="24"/>
          <w:szCs w:val="24"/>
        </w:rPr>
        <w:t xml:space="preserve"> their local community in the form of volunteerism and  leadership.</w:t>
      </w:r>
      <w:r w:rsidR="004E7BDC">
        <w:rPr>
          <w:rFonts w:ascii="Times New Roman" w:hAnsi="Times New Roman" w:cs="Times New Roman"/>
          <w:sz w:val="24"/>
          <w:szCs w:val="24"/>
        </w:rPr>
        <w:t xml:space="preserve"> The second scholarship, the </w:t>
      </w:r>
      <w:r w:rsidR="004E7BDC" w:rsidRPr="004E7BDC">
        <w:rPr>
          <w:rFonts w:ascii="Times New Roman" w:hAnsi="Times New Roman" w:cs="Times New Roman"/>
          <w:sz w:val="24"/>
          <w:szCs w:val="24"/>
        </w:rPr>
        <w:t xml:space="preserve"> Intersection of Personal and Professional Identities Scholarship</w:t>
      </w:r>
      <w:r w:rsidR="004E7BDC">
        <w:rPr>
          <w:rFonts w:ascii="Times New Roman" w:hAnsi="Times New Roman" w:cs="Times New Roman"/>
          <w:sz w:val="24"/>
          <w:szCs w:val="24"/>
        </w:rPr>
        <w:t>, honors students who have demonstrated the willingness and ability to reflect on their own self-knowledge and multicultural awareness, particularly involving topics such as</w:t>
      </w:r>
      <w:r w:rsidR="004E7BDC" w:rsidRPr="004E7BDC">
        <w:rPr>
          <w:rFonts w:ascii="Times New Roman" w:hAnsi="Times New Roman" w:cs="Times New Roman"/>
          <w:sz w:val="24"/>
          <w:szCs w:val="24"/>
        </w:rPr>
        <w:t xml:space="preserve"> privilege, oppression, resilience, and advocacy.  </w:t>
      </w:r>
      <w:r w:rsidR="005F62E1" w:rsidRPr="00A42A15">
        <w:rPr>
          <w:rFonts w:ascii="Times New Roman" w:hAnsi="Times New Roman" w:cs="Times New Roman"/>
          <w:sz w:val="24"/>
          <w:szCs w:val="24"/>
        </w:rPr>
        <w:t>Th</w:t>
      </w:r>
      <w:r w:rsidR="004E7BDC">
        <w:rPr>
          <w:rFonts w:ascii="Times New Roman" w:hAnsi="Times New Roman" w:cs="Times New Roman"/>
          <w:sz w:val="24"/>
          <w:szCs w:val="24"/>
        </w:rPr>
        <w:t>ese</w:t>
      </w:r>
      <w:r w:rsidR="005F62E1" w:rsidRPr="00A42A15">
        <w:rPr>
          <w:rFonts w:ascii="Times New Roman" w:hAnsi="Times New Roman" w:cs="Times New Roman"/>
          <w:sz w:val="24"/>
          <w:szCs w:val="24"/>
        </w:rPr>
        <w:t xml:space="preserve"> scholarship</w:t>
      </w:r>
      <w:r w:rsidR="004E7BDC">
        <w:rPr>
          <w:rFonts w:ascii="Times New Roman" w:hAnsi="Times New Roman" w:cs="Times New Roman"/>
          <w:sz w:val="24"/>
          <w:szCs w:val="24"/>
        </w:rPr>
        <w:t>s</w:t>
      </w:r>
      <w:r w:rsidR="005F62E1" w:rsidRPr="00A42A15">
        <w:rPr>
          <w:rFonts w:ascii="Times New Roman" w:hAnsi="Times New Roman" w:cs="Times New Roman"/>
          <w:sz w:val="24"/>
          <w:szCs w:val="24"/>
        </w:rPr>
        <w:t xml:space="preserve"> join the UAB Glenda Elliot Scholarship which is awarded to a UAB Counseling student annually.</w:t>
      </w:r>
    </w:p>
    <w:p w14:paraId="06B97387" w14:textId="4BA66D03" w:rsidR="008120AE" w:rsidRPr="00A42A15" w:rsidRDefault="008120AE" w:rsidP="008120AE">
      <w:pPr>
        <w:rPr>
          <w:rFonts w:ascii="Times New Roman" w:hAnsi="Times New Roman" w:cs="Times New Roman"/>
          <w:sz w:val="24"/>
          <w:szCs w:val="24"/>
        </w:rPr>
      </w:pPr>
      <w:r w:rsidRPr="00A42A15">
        <w:rPr>
          <w:rFonts w:ascii="Times New Roman" w:hAnsi="Times New Roman" w:cs="Times New Roman"/>
          <w:sz w:val="24"/>
          <w:szCs w:val="24"/>
        </w:rPr>
        <w:t>In the summer of 2020, the UAB School of Education moved</w:t>
      </w:r>
      <w:r w:rsidR="00E47B85" w:rsidRPr="00A42A15">
        <w:rPr>
          <w:rFonts w:ascii="Times New Roman" w:hAnsi="Times New Roman" w:cs="Times New Roman"/>
          <w:sz w:val="24"/>
          <w:szCs w:val="24"/>
        </w:rPr>
        <w:t xml:space="preserve"> to its new building in the newly re</w:t>
      </w:r>
      <w:r w:rsidR="00412108" w:rsidRPr="00A42A15">
        <w:rPr>
          <w:rFonts w:ascii="Times New Roman" w:hAnsi="Times New Roman" w:cs="Times New Roman"/>
          <w:sz w:val="24"/>
          <w:szCs w:val="24"/>
        </w:rPr>
        <w:t xml:space="preserve">novated </w:t>
      </w:r>
      <w:r w:rsidR="00E47B85" w:rsidRPr="00A42A15">
        <w:rPr>
          <w:rFonts w:ascii="Times New Roman" w:hAnsi="Times New Roman" w:cs="Times New Roman"/>
          <w:sz w:val="24"/>
          <w:szCs w:val="24"/>
        </w:rPr>
        <w:t>Education and Engineering Complex</w:t>
      </w:r>
      <w:r w:rsidR="00CB439C" w:rsidRPr="00A42A15">
        <w:rPr>
          <w:rFonts w:ascii="Times New Roman" w:hAnsi="Times New Roman" w:cs="Times New Roman"/>
          <w:sz w:val="24"/>
          <w:szCs w:val="24"/>
        </w:rPr>
        <w:t xml:space="preserve">. </w:t>
      </w:r>
      <w:r w:rsidR="004E3C53" w:rsidRPr="00A42A15">
        <w:rPr>
          <w:rFonts w:ascii="Times New Roman" w:hAnsi="Times New Roman" w:cs="Times New Roman"/>
          <w:sz w:val="24"/>
          <w:szCs w:val="24"/>
        </w:rPr>
        <w:t>Counseling Program faculty offices and the UAB Community Counseling Clinic relocated to</w:t>
      </w:r>
      <w:r w:rsidR="0099102D" w:rsidRPr="00A42A15">
        <w:rPr>
          <w:rFonts w:ascii="Times New Roman" w:hAnsi="Times New Roman" w:cs="Times New Roman"/>
          <w:sz w:val="24"/>
          <w:szCs w:val="24"/>
        </w:rPr>
        <w:t xml:space="preserve"> their new space</w:t>
      </w:r>
      <w:r w:rsidR="009F36FE" w:rsidRPr="00A42A15">
        <w:rPr>
          <w:rFonts w:ascii="Times New Roman" w:hAnsi="Times New Roman" w:cs="Times New Roman"/>
          <w:sz w:val="24"/>
          <w:szCs w:val="24"/>
        </w:rPr>
        <w:t xml:space="preserve">s at </w:t>
      </w:r>
      <w:r w:rsidR="00196AE9" w:rsidRPr="00A42A15">
        <w:rPr>
          <w:rFonts w:ascii="Times New Roman" w:hAnsi="Times New Roman" w:cs="Times New Roman"/>
          <w:sz w:val="24"/>
          <w:szCs w:val="24"/>
        </w:rPr>
        <w:t>1150 10</w:t>
      </w:r>
      <w:r w:rsidR="00196AE9" w:rsidRPr="00A42A15">
        <w:rPr>
          <w:rFonts w:ascii="Times New Roman" w:hAnsi="Times New Roman" w:cs="Times New Roman"/>
          <w:sz w:val="24"/>
          <w:szCs w:val="24"/>
          <w:vertAlign w:val="superscript"/>
        </w:rPr>
        <w:t>th</w:t>
      </w:r>
      <w:r w:rsidR="00196AE9" w:rsidRPr="00A42A15">
        <w:rPr>
          <w:rFonts w:ascii="Times New Roman" w:hAnsi="Times New Roman" w:cs="Times New Roman"/>
          <w:sz w:val="24"/>
          <w:szCs w:val="24"/>
        </w:rPr>
        <w:t xml:space="preserve"> Ave S.</w:t>
      </w:r>
      <w:r w:rsidR="00D54B51">
        <w:rPr>
          <w:rFonts w:ascii="Times New Roman" w:hAnsi="Times New Roman" w:cs="Times New Roman"/>
          <w:sz w:val="24"/>
          <w:szCs w:val="24"/>
        </w:rPr>
        <w:t xml:space="preserve"> Program faculty had input on aspects </w:t>
      </w:r>
      <w:r w:rsidR="003F789D">
        <w:rPr>
          <w:rFonts w:ascii="Times New Roman" w:hAnsi="Times New Roman" w:cs="Times New Roman"/>
          <w:sz w:val="24"/>
          <w:szCs w:val="24"/>
        </w:rPr>
        <w:t>of the new clinic and office spaces, including a larger waiting area</w:t>
      </w:r>
      <w:r w:rsidR="00ED2549">
        <w:rPr>
          <w:rFonts w:ascii="Times New Roman" w:hAnsi="Times New Roman" w:cs="Times New Roman"/>
          <w:sz w:val="24"/>
          <w:szCs w:val="24"/>
        </w:rPr>
        <w:t xml:space="preserve"> and office space</w:t>
      </w:r>
      <w:r w:rsidR="003F789D">
        <w:rPr>
          <w:rFonts w:ascii="Times New Roman" w:hAnsi="Times New Roman" w:cs="Times New Roman"/>
          <w:sz w:val="24"/>
          <w:szCs w:val="24"/>
        </w:rPr>
        <w:t xml:space="preserve"> for the CCC</w:t>
      </w:r>
      <w:r w:rsidR="00ED2549">
        <w:rPr>
          <w:rFonts w:ascii="Times New Roman" w:hAnsi="Times New Roman" w:cs="Times New Roman"/>
          <w:sz w:val="24"/>
          <w:szCs w:val="24"/>
        </w:rPr>
        <w:t>, more session rooms, and closer proximity between CP faculty offices and the CCC.</w:t>
      </w:r>
    </w:p>
    <w:p w14:paraId="14001A66" w14:textId="5FDB847B" w:rsidR="00ED38DF" w:rsidRPr="00A42A15" w:rsidRDefault="0071432D" w:rsidP="00172C95">
      <w:pPr>
        <w:rPr>
          <w:rFonts w:ascii="Times New Roman" w:hAnsi="Times New Roman" w:cs="Times New Roman"/>
          <w:sz w:val="24"/>
          <w:szCs w:val="24"/>
        </w:rPr>
      </w:pPr>
      <w:r>
        <w:rPr>
          <w:rFonts w:ascii="Times New Roman" w:hAnsi="Times New Roman" w:cs="Times New Roman"/>
          <w:sz w:val="24"/>
          <w:szCs w:val="24"/>
        </w:rPr>
        <w:t xml:space="preserve">In </w:t>
      </w:r>
      <w:r w:rsidR="00584288">
        <w:rPr>
          <w:rFonts w:ascii="Times New Roman" w:hAnsi="Times New Roman" w:cs="Times New Roman"/>
          <w:sz w:val="24"/>
          <w:szCs w:val="24"/>
        </w:rPr>
        <w:t>S</w:t>
      </w:r>
      <w:r>
        <w:rPr>
          <w:rFonts w:ascii="Times New Roman" w:hAnsi="Times New Roman" w:cs="Times New Roman"/>
          <w:sz w:val="24"/>
          <w:szCs w:val="24"/>
        </w:rPr>
        <w:t>pring/</w:t>
      </w:r>
      <w:r w:rsidR="00584288">
        <w:rPr>
          <w:rFonts w:ascii="Times New Roman" w:hAnsi="Times New Roman" w:cs="Times New Roman"/>
          <w:sz w:val="24"/>
          <w:szCs w:val="24"/>
        </w:rPr>
        <w:t>S</w:t>
      </w:r>
      <w:r>
        <w:rPr>
          <w:rFonts w:ascii="Times New Roman" w:hAnsi="Times New Roman" w:cs="Times New Roman"/>
          <w:sz w:val="24"/>
          <w:szCs w:val="24"/>
        </w:rPr>
        <w:t>ummer 2020, the UAB Community Counseling Clinic transitioned all services to telehealth for the duration of that academic year</w:t>
      </w:r>
      <w:r w:rsidR="00843BAE">
        <w:rPr>
          <w:rFonts w:ascii="Times New Roman" w:hAnsi="Times New Roman" w:cs="Times New Roman"/>
          <w:sz w:val="24"/>
          <w:szCs w:val="24"/>
        </w:rPr>
        <w:t xml:space="preserve"> due to the Covid-19 pandemic</w:t>
      </w:r>
      <w:r>
        <w:rPr>
          <w:rFonts w:ascii="Times New Roman" w:hAnsi="Times New Roman" w:cs="Times New Roman"/>
          <w:sz w:val="24"/>
          <w:szCs w:val="24"/>
        </w:rPr>
        <w:t>. Under the direction of Dr. Sean Hall</w:t>
      </w:r>
      <w:r w:rsidR="007E3383">
        <w:rPr>
          <w:rFonts w:ascii="Times New Roman" w:hAnsi="Times New Roman" w:cs="Times New Roman"/>
          <w:sz w:val="24"/>
          <w:szCs w:val="24"/>
        </w:rPr>
        <w:t xml:space="preserve"> at the time</w:t>
      </w:r>
      <w:r w:rsidR="00843BAE">
        <w:rPr>
          <w:rFonts w:ascii="Times New Roman" w:hAnsi="Times New Roman" w:cs="Times New Roman"/>
          <w:sz w:val="24"/>
          <w:szCs w:val="24"/>
        </w:rPr>
        <w:t>, all clinic students and counseling program faculty were trained in telehealth</w:t>
      </w:r>
      <w:r w:rsidR="00E3683C">
        <w:rPr>
          <w:rFonts w:ascii="Times New Roman" w:hAnsi="Times New Roman" w:cs="Times New Roman"/>
          <w:sz w:val="24"/>
          <w:szCs w:val="24"/>
        </w:rPr>
        <w:t xml:space="preserve"> service delivery. Clinic policies, processes</w:t>
      </w:r>
      <w:r w:rsidR="00584288">
        <w:rPr>
          <w:rFonts w:ascii="Times New Roman" w:hAnsi="Times New Roman" w:cs="Times New Roman"/>
          <w:sz w:val="24"/>
          <w:szCs w:val="24"/>
        </w:rPr>
        <w:t>,</w:t>
      </w:r>
      <w:r w:rsidR="00E3683C">
        <w:rPr>
          <w:rFonts w:ascii="Times New Roman" w:hAnsi="Times New Roman" w:cs="Times New Roman"/>
          <w:sz w:val="24"/>
          <w:szCs w:val="24"/>
        </w:rPr>
        <w:t xml:space="preserve"> and forms were re-evaluated </w:t>
      </w:r>
      <w:r w:rsidR="005A529F">
        <w:rPr>
          <w:rFonts w:ascii="Times New Roman" w:hAnsi="Times New Roman" w:cs="Times New Roman"/>
          <w:sz w:val="24"/>
          <w:szCs w:val="24"/>
        </w:rPr>
        <w:t>and, in many cases</w:t>
      </w:r>
      <w:r w:rsidR="00E3683C">
        <w:rPr>
          <w:rFonts w:ascii="Times New Roman" w:hAnsi="Times New Roman" w:cs="Times New Roman"/>
          <w:sz w:val="24"/>
          <w:szCs w:val="24"/>
        </w:rPr>
        <w:t>, were re-written to ensure HIPAA</w:t>
      </w:r>
      <w:r w:rsidR="00613A97">
        <w:rPr>
          <w:rFonts w:ascii="Times New Roman" w:hAnsi="Times New Roman" w:cs="Times New Roman"/>
          <w:sz w:val="24"/>
          <w:szCs w:val="24"/>
        </w:rPr>
        <w:t>-compliance and best practice.</w:t>
      </w:r>
    </w:p>
    <w:p w14:paraId="3B0EF08F" w14:textId="77777777" w:rsidR="001D4A8A" w:rsidRPr="00A42A15" w:rsidRDefault="001D4A8A" w:rsidP="00172C95">
      <w:pPr>
        <w:rPr>
          <w:rFonts w:ascii="Times New Roman" w:hAnsi="Times New Roman" w:cs="Times New Roman"/>
          <w:sz w:val="24"/>
          <w:szCs w:val="24"/>
        </w:rPr>
      </w:pPr>
    </w:p>
    <w:p w14:paraId="3AB102FB" w14:textId="77777777" w:rsidR="00B17A2F" w:rsidRPr="00A42A15" w:rsidRDefault="00B17A2F" w:rsidP="00172C95">
      <w:pPr>
        <w:rPr>
          <w:rFonts w:ascii="Times New Roman" w:hAnsi="Times New Roman" w:cs="Times New Roman"/>
          <w:sz w:val="24"/>
          <w:szCs w:val="24"/>
        </w:rPr>
      </w:pPr>
    </w:p>
    <w:sectPr w:rsidR="00B17A2F" w:rsidRPr="00A42A15" w:rsidSect="00D67B4C">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B192F" w14:textId="77777777" w:rsidR="00EE17E3" w:rsidRDefault="00EE17E3" w:rsidP="000C2325">
      <w:pPr>
        <w:spacing w:after="0" w:line="240" w:lineRule="auto"/>
      </w:pPr>
      <w:r>
        <w:separator/>
      </w:r>
    </w:p>
  </w:endnote>
  <w:endnote w:type="continuationSeparator" w:id="0">
    <w:p w14:paraId="7EB8F65E" w14:textId="77777777" w:rsidR="00EE17E3" w:rsidRDefault="00EE17E3" w:rsidP="000C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F7628" w14:textId="77777777" w:rsidR="00EE17E3" w:rsidRDefault="00EE17E3" w:rsidP="000C2325">
      <w:pPr>
        <w:spacing w:after="0" w:line="240" w:lineRule="auto"/>
      </w:pPr>
      <w:r>
        <w:separator/>
      </w:r>
    </w:p>
  </w:footnote>
  <w:footnote w:type="continuationSeparator" w:id="0">
    <w:p w14:paraId="176FDA2B" w14:textId="77777777" w:rsidR="00EE17E3" w:rsidRDefault="00EE17E3" w:rsidP="000C2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958058"/>
      <w:docPartObj>
        <w:docPartGallery w:val="Page Numbers (Top of Page)"/>
        <w:docPartUnique/>
      </w:docPartObj>
    </w:sdtPr>
    <w:sdtEndPr>
      <w:rPr>
        <w:noProof/>
      </w:rPr>
    </w:sdtEndPr>
    <w:sdtContent>
      <w:p w14:paraId="01BB2DA0" w14:textId="5E866ABD" w:rsidR="000C2325" w:rsidRDefault="000C2325">
        <w:pPr>
          <w:pStyle w:val="Header"/>
          <w:jc w:val="right"/>
        </w:pPr>
        <w:r>
          <w:fldChar w:fldCharType="begin"/>
        </w:r>
        <w:r>
          <w:instrText xml:space="preserve"> PAGE   \* MERGEFORMAT </w:instrText>
        </w:r>
        <w:r>
          <w:fldChar w:fldCharType="separate"/>
        </w:r>
        <w:r w:rsidR="00584288">
          <w:rPr>
            <w:noProof/>
          </w:rPr>
          <w:t>10</w:t>
        </w:r>
        <w:r>
          <w:rPr>
            <w:noProof/>
          </w:rPr>
          <w:fldChar w:fldCharType="end"/>
        </w:r>
      </w:p>
    </w:sdtContent>
  </w:sdt>
  <w:p w14:paraId="33C1EE1C" w14:textId="77777777" w:rsidR="000C2325" w:rsidRDefault="000C2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966FD"/>
    <w:multiLevelType w:val="hybridMultilevel"/>
    <w:tmpl w:val="9B9C4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F0C8B"/>
    <w:multiLevelType w:val="hybridMultilevel"/>
    <w:tmpl w:val="D16A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95"/>
    <w:rsid w:val="00057CD3"/>
    <w:rsid w:val="0007030C"/>
    <w:rsid w:val="00072356"/>
    <w:rsid w:val="0007370D"/>
    <w:rsid w:val="00075FF8"/>
    <w:rsid w:val="00085676"/>
    <w:rsid w:val="000C1118"/>
    <w:rsid w:val="000C2325"/>
    <w:rsid w:val="000C2D73"/>
    <w:rsid w:val="000E1130"/>
    <w:rsid w:val="000E4863"/>
    <w:rsid w:val="000F4D07"/>
    <w:rsid w:val="001272CB"/>
    <w:rsid w:val="00140B18"/>
    <w:rsid w:val="00151268"/>
    <w:rsid w:val="00151D53"/>
    <w:rsid w:val="001520F6"/>
    <w:rsid w:val="0015449E"/>
    <w:rsid w:val="00161973"/>
    <w:rsid w:val="00172C95"/>
    <w:rsid w:val="00173E71"/>
    <w:rsid w:val="00173EB7"/>
    <w:rsid w:val="00196AE9"/>
    <w:rsid w:val="001B5EBD"/>
    <w:rsid w:val="001B5F9F"/>
    <w:rsid w:val="001B6B13"/>
    <w:rsid w:val="001D4A8A"/>
    <w:rsid w:val="002016E0"/>
    <w:rsid w:val="002209B9"/>
    <w:rsid w:val="00223B42"/>
    <w:rsid w:val="002266AC"/>
    <w:rsid w:val="00237C7D"/>
    <w:rsid w:val="002441F0"/>
    <w:rsid w:val="00244D28"/>
    <w:rsid w:val="00255246"/>
    <w:rsid w:val="00271F95"/>
    <w:rsid w:val="002917CB"/>
    <w:rsid w:val="002F781B"/>
    <w:rsid w:val="003060BC"/>
    <w:rsid w:val="00312324"/>
    <w:rsid w:val="00337F56"/>
    <w:rsid w:val="003479C2"/>
    <w:rsid w:val="00357F5F"/>
    <w:rsid w:val="00360763"/>
    <w:rsid w:val="003A36AA"/>
    <w:rsid w:val="003C53B1"/>
    <w:rsid w:val="003D1ED2"/>
    <w:rsid w:val="003F218A"/>
    <w:rsid w:val="003F789D"/>
    <w:rsid w:val="00404530"/>
    <w:rsid w:val="00412108"/>
    <w:rsid w:val="00424B09"/>
    <w:rsid w:val="00426BF0"/>
    <w:rsid w:val="0042724F"/>
    <w:rsid w:val="004575D5"/>
    <w:rsid w:val="00477A2F"/>
    <w:rsid w:val="0048057C"/>
    <w:rsid w:val="004962E4"/>
    <w:rsid w:val="004B0A82"/>
    <w:rsid w:val="004B16B6"/>
    <w:rsid w:val="004D0830"/>
    <w:rsid w:val="004E2DF6"/>
    <w:rsid w:val="004E3C53"/>
    <w:rsid w:val="004E3CB7"/>
    <w:rsid w:val="004E7BDC"/>
    <w:rsid w:val="004F3F07"/>
    <w:rsid w:val="005054A8"/>
    <w:rsid w:val="0056145E"/>
    <w:rsid w:val="00566C2D"/>
    <w:rsid w:val="00584288"/>
    <w:rsid w:val="00584FDB"/>
    <w:rsid w:val="005A529F"/>
    <w:rsid w:val="005B3295"/>
    <w:rsid w:val="005C0F64"/>
    <w:rsid w:val="005C4E31"/>
    <w:rsid w:val="005C79E7"/>
    <w:rsid w:val="005E6C5F"/>
    <w:rsid w:val="005F2F36"/>
    <w:rsid w:val="005F62E1"/>
    <w:rsid w:val="006039F3"/>
    <w:rsid w:val="00613A97"/>
    <w:rsid w:val="006155A5"/>
    <w:rsid w:val="00630CDF"/>
    <w:rsid w:val="0064020C"/>
    <w:rsid w:val="006414D2"/>
    <w:rsid w:val="006563BF"/>
    <w:rsid w:val="00664EB8"/>
    <w:rsid w:val="006849DD"/>
    <w:rsid w:val="00694CD1"/>
    <w:rsid w:val="006D4169"/>
    <w:rsid w:val="006E21C5"/>
    <w:rsid w:val="006E46E3"/>
    <w:rsid w:val="0070148E"/>
    <w:rsid w:val="00705758"/>
    <w:rsid w:val="007072AA"/>
    <w:rsid w:val="0071432D"/>
    <w:rsid w:val="00726CB2"/>
    <w:rsid w:val="007341AC"/>
    <w:rsid w:val="007402DC"/>
    <w:rsid w:val="0074525C"/>
    <w:rsid w:val="00756286"/>
    <w:rsid w:val="00767CFB"/>
    <w:rsid w:val="00775A50"/>
    <w:rsid w:val="00782F2C"/>
    <w:rsid w:val="007866C1"/>
    <w:rsid w:val="007914CC"/>
    <w:rsid w:val="007A7A87"/>
    <w:rsid w:val="007C0B1C"/>
    <w:rsid w:val="007C1E57"/>
    <w:rsid w:val="007C3CFA"/>
    <w:rsid w:val="007C7601"/>
    <w:rsid w:val="007D468B"/>
    <w:rsid w:val="007E0C17"/>
    <w:rsid w:val="007E3383"/>
    <w:rsid w:val="008120AE"/>
    <w:rsid w:val="0082104D"/>
    <w:rsid w:val="008276EE"/>
    <w:rsid w:val="008358D6"/>
    <w:rsid w:val="00836A58"/>
    <w:rsid w:val="00843BAE"/>
    <w:rsid w:val="00883DA6"/>
    <w:rsid w:val="008869B6"/>
    <w:rsid w:val="00892699"/>
    <w:rsid w:val="008A2126"/>
    <w:rsid w:val="008C17AE"/>
    <w:rsid w:val="008D0E52"/>
    <w:rsid w:val="008E7C9A"/>
    <w:rsid w:val="00922C52"/>
    <w:rsid w:val="009277D1"/>
    <w:rsid w:val="009449BF"/>
    <w:rsid w:val="0095292A"/>
    <w:rsid w:val="00990CCB"/>
    <w:rsid w:val="0099102D"/>
    <w:rsid w:val="009A4B4E"/>
    <w:rsid w:val="009B7FF8"/>
    <w:rsid w:val="009F36FE"/>
    <w:rsid w:val="009F552F"/>
    <w:rsid w:val="00A32193"/>
    <w:rsid w:val="00A42A15"/>
    <w:rsid w:val="00A468D4"/>
    <w:rsid w:val="00A50F42"/>
    <w:rsid w:val="00A74593"/>
    <w:rsid w:val="00A76911"/>
    <w:rsid w:val="00AB16BC"/>
    <w:rsid w:val="00AB17EA"/>
    <w:rsid w:val="00AD1FE4"/>
    <w:rsid w:val="00AE1325"/>
    <w:rsid w:val="00AE6F38"/>
    <w:rsid w:val="00B17A2F"/>
    <w:rsid w:val="00B3031F"/>
    <w:rsid w:val="00B41A0D"/>
    <w:rsid w:val="00B436D1"/>
    <w:rsid w:val="00B57540"/>
    <w:rsid w:val="00B65FE8"/>
    <w:rsid w:val="00B7123E"/>
    <w:rsid w:val="00B80FA3"/>
    <w:rsid w:val="00B86824"/>
    <w:rsid w:val="00B97CA5"/>
    <w:rsid w:val="00BB4604"/>
    <w:rsid w:val="00BB77A4"/>
    <w:rsid w:val="00BC12DB"/>
    <w:rsid w:val="00BD3F18"/>
    <w:rsid w:val="00C10CCB"/>
    <w:rsid w:val="00C35AFD"/>
    <w:rsid w:val="00C40E2F"/>
    <w:rsid w:val="00C43075"/>
    <w:rsid w:val="00C47C60"/>
    <w:rsid w:val="00C62342"/>
    <w:rsid w:val="00C9348D"/>
    <w:rsid w:val="00CB135F"/>
    <w:rsid w:val="00CB2E7E"/>
    <w:rsid w:val="00CB439C"/>
    <w:rsid w:val="00CC19DD"/>
    <w:rsid w:val="00CF2B22"/>
    <w:rsid w:val="00CF2C61"/>
    <w:rsid w:val="00CF3B63"/>
    <w:rsid w:val="00D13CAA"/>
    <w:rsid w:val="00D1688B"/>
    <w:rsid w:val="00D30A84"/>
    <w:rsid w:val="00D54B51"/>
    <w:rsid w:val="00D64AA5"/>
    <w:rsid w:val="00D662BF"/>
    <w:rsid w:val="00D67B4C"/>
    <w:rsid w:val="00D74289"/>
    <w:rsid w:val="00D762AA"/>
    <w:rsid w:val="00D804B3"/>
    <w:rsid w:val="00D86C29"/>
    <w:rsid w:val="00DB06EB"/>
    <w:rsid w:val="00DB7490"/>
    <w:rsid w:val="00DC351C"/>
    <w:rsid w:val="00DD1568"/>
    <w:rsid w:val="00DD6E00"/>
    <w:rsid w:val="00E01163"/>
    <w:rsid w:val="00E15AD8"/>
    <w:rsid w:val="00E239D4"/>
    <w:rsid w:val="00E3683C"/>
    <w:rsid w:val="00E46683"/>
    <w:rsid w:val="00E47B85"/>
    <w:rsid w:val="00E6200B"/>
    <w:rsid w:val="00E6216C"/>
    <w:rsid w:val="00E62408"/>
    <w:rsid w:val="00E62BD2"/>
    <w:rsid w:val="00E80EB1"/>
    <w:rsid w:val="00EB16B2"/>
    <w:rsid w:val="00ED2549"/>
    <w:rsid w:val="00ED38DF"/>
    <w:rsid w:val="00EE17E3"/>
    <w:rsid w:val="00EE47E8"/>
    <w:rsid w:val="00EE4D5C"/>
    <w:rsid w:val="00EF0FA1"/>
    <w:rsid w:val="00F038F6"/>
    <w:rsid w:val="00F50673"/>
    <w:rsid w:val="00F76D31"/>
    <w:rsid w:val="00F91A51"/>
    <w:rsid w:val="00F97976"/>
    <w:rsid w:val="00FB465C"/>
    <w:rsid w:val="00FC32C5"/>
    <w:rsid w:val="00FC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E31E1"/>
  <w15:chartTrackingRefBased/>
  <w15:docId w15:val="{FA9F46CC-2AFE-4EA5-85FE-63B48F30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2C9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95"/>
    <w:rPr>
      <w:rFonts w:ascii="Segoe UI" w:hAnsi="Segoe UI" w:cs="Segoe UI"/>
      <w:sz w:val="18"/>
      <w:szCs w:val="18"/>
    </w:rPr>
  </w:style>
  <w:style w:type="character" w:styleId="Strong">
    <w:name w:val="Strong"/>
    <w:basedOn w:val="DefaultParagraphFont"/>
    <w:uiPriority w:val="22"/>
    <w:qFormat/>
    <w:rsid w:val="00E6200B"/>
    <w:rPr>
      <w:b/>
      <w:bCs/>
    </w:rPr>
  </w:style>
  <w:style w:type="paragraph" w:styleId="ListParagraph">
    <w:name w:val="List Paragraph"/>
    <w:basedOn w:val="Normal"/>
    <w:uiPriority w:val="34"/>
    <w:qFormat/>
    <w:rsid w:val="005F62E1"/>
    <w:pPr>
      <w:ind w:left="720"/>
      <w:contextualSpacing/>
    </w:pPr>
  </w:style>
  <w:style w:type="paragraph" w:styleId="Header">
    <w:name w:val="header"/>
    <w:basedOn w:val="Normal"/>
    <w:link w:val="HeaderChar"/>
    <w:uiPriority w:val="99"/>
    <w:unhideWhenUsed/>
    <w:rsid w:val="000C2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25"/>
  </w:style>
  <w:style w:type="paragraph" w:styleId="Footer">
    <w:name w:val="footer"/>
    <w:basedOn w:val="Normal"/>
    <w:link w:val="FooterChar"/>
    <w:uiPriority w:val="99"/>
    <w:unhideWhenUsed/>
    <w:rsid w:val="000C2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25"/>
  </w:style>
  <w:style w:type="character" w:styleId="CommentReference">
    <w:name w:val="annotation reference"/>
    <w:basedOn w:val="DefaultParagraphFont"/>
    <w:uiPriority w:val="99"/>
    <w:semiHidden/>
    <w:unhideWhenUsed/>
    <w:rsid w:val="00E15AD8"/>
    <w:rPr>
      <w:sz w:val="16"/>
      <w:szCs w:val="16"/>
    </w:rPr>
  </w:style>
  <w:style w:type="paragraph" w:styleId="CommentText">
    <w:name w:val="annotation text"/>
    <w:basedOn w:val="Normal"/>
    <w:link w:val="CommentTextChar"/>
    <w:uiPriority w:val="99"/>
    <w:semiHidden/>
    <w:unhideWhenUsed/>
    <w:rsid w:val="00E15AD8"/>
    <w:pPr>
      <w:spacing w:line="240" w:lineRule="auto"/>
    </w:pPr>
    <w:rPr>
      <w:sz w:val="20"/>
      <w:szCs w:val="20"/>
    </w:rPr>
  </w:style>
  <w:style w:type="character" w:customStyle="1" w:styleId="CommentTextChar">
    <w:name w:val="Comment Text Char"/>
    <w:basedOn w:val="DefaultParagraphFont"/>
    <w:link w:val="CommentText"/>
    <w:uiPriority w:val="99"/>
    <w:semiHidden/>
    <w:rsid w:val="00E15AD8"/>
    <w:rPr>
      <w:sz w:val="20"/>
      <w:szCs w:val="20"/>
    </w:rPr>
  </w:style>
  <w:style w:type="paragraph" w:styleId="CommentSubject">
    <w:name w:val="annotation subject"/>
    <w:basedOn w:val="CommentText"/>
    <w:next w:val="CommentText"/>
    <w:link w:val="CommentSubjectChar"/>
    <w:uiPriority w:val="99"/>
    <w:semiHidden/>
    <w:unhideWhenUsed/>
    <w:rsid w:val="00E15AD8"/>
    <w:rPr>
      <w:b/>
      <w:bCs/>
    </w:rPr>
  </w:style>
  <w:style w:type="character" w:customStyle="1" w:styleId="CommentSubjectChar">
    <w:name w:val="Comment Subject Char"/>
    <w:basedOn w:val="CommentTextChar"/>
    <w:link w:val="CommentSubject"/>
    <w:uiPriority w:val="99"/>
    <w:semiHidden/>
    <w:rsid w:val="00E15A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16735">
      <w:bodyDiv w:val="1"/>
      <w:marLeft w:val="0"/>
      <w:marRight w:val="0"/>
      <w:marTop w:val="0"/>
      <w:marBottom w:val="0"/>
      <w:divBdr>
        <w:top w:val="none" w:sz="0" w:space="0" w:color="auto"/>
        <w:left w:val="none" w:sz="0" w:space="0" w:color="auto"/>
        <w:bottom w:val="none" w:sz="0" w:space="0" w:color="auto"/>
        <w:right w:val="none" w:sz="0" w:space="0" w:color="auto"/>
      </w:divBdr>
    </w:div>
    <w:div w:id="568737304">
      <w:bodyDiv w:val="1"/>
      <w:marLeft w:val="0"/>
      <w:marRight w:val="0"/>
      <w:marTop w:val="0"/>
      <w:marBottom w:val="0"/>
      <w:divBdr>
        <w:top w:val="none" w:sz="0" w:space="0" w:color="auto"/>
        <w:left w:val="none" w:sz="0" w:space="0" w:color="auto"/>
        <w:bottom w:val="none" w:sz="0" w:space="0" w:color="auto"/>
        <w:right w:val="none" w:sz="0" w:space="0" w:color="auto"/>
      </w:divBdr>
    </w:div>
    <w:div w:id="21300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66DA3E89C6542BBF8CB433CA86A82" ma:contentTypeVersion="12" ma:contentTypeDescription="Create a new document." ma:contentTypeScope="" ma:versionID="a59fee91552aeea2fea63b4ef7f9fd6c">
  <xsd:schema xmlns:xsd="http://www.w3.org/2001/XMLSchema" xmlns:xs="http://www.w3.org/2001/XMLSchema" xmlns:p="http://schemas.microsoft.com/office/2006/metadata/properties" xmlns:ns1="http://schemas.microsoft.com/sharepoint/v3" xmlns:ns3="c2e4234c-17c0-4c22-a908-cd2aeedc828f" targetNamespace="http://schemas.microsoft.com/office/2006/metadata/properties" ma:root="true" ma:fieldsID="756f4f82acf587c77b9744374c4bbf0b" ns1:_="" ns3:_="">
    <xsd:import namespace="http://schemas.microsoft.com/sharepoint/v3"/>
    <xsd:import namespace="c2e4234c-17c0-4c22-a908-cd2aeedc82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4234c-17c0-4c22-a908-cd2aeedc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0897D-FBE2-4A30-B35E-CFAF2E438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4234c-17c0-4c22-a908-cd2aeedc8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D1470-F765-4218-A055-9779FAEEC4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3087E61-3827-40EE-8855-CCAE807F2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Shannon N</dc:creator>
  <cp:keywords/>
  <dc:description/>
  <cp:lastModifiedBy>McCarthy, Shannon N</cp:lastModifiedBy>
  <cp:revision>14</cp:revision>
  <dcterms:created xsi:type="dcterms:W3CDTF">2021-09-30T14:24:00Z</dcterms:created>
  <dcterms:modified xsi:type="dcterms:W3CDTF">2021-10-13T20:17:00Z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0x01010058766DA3E89C6542BBF8CB433CA86A82</vt:lpwstr>
  </property>
</Properties>
</file>