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86" w:rsidRPr="001B3EF8" w:rsidRDefault="00E62986" w:rsidP="00E6298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B3EF8">
        <w:rPr>
          <w:rFonts w:asciiTheme="majorHAnsi" w:hAnsiTheme="majorHAnsi"/>
          <w:b/>
          <w:sz w:val="28"/>
          <w:szCs w:val="28"/>
        </w:rPr>
        <w:t xml:space="preserve">1917 </w:t>
      </w:r>
      <w:r w:rsidR="00B47810">
        <w:rPr>
          <w:rFonts w:asciiTheme="majorHAnsi" w:hAnsiTheme="majorHAnsi"/>
          <w:b/>
          <w:sz w:val="28"/>
          <w:szCs w:val="28"/>
        </w:rPr>
        <w:t xml:space="preserve">(HIV/AIDS) Outpatient </w:t>
      </w:r>
      <w:r w:rsidRPr="001B3EF8">
        <w:rPr>
          <w:rFonts w:asciiTheme="majorHAnsi" w:hAnsiTheme="majorHAnsi"/>
          <w:b/>
          <w:sz w:val="28"/>
          <w:szCs w:val="28"/>
        </w:rPr>
        <w:t>Clinic CORE</w:t>
      </w:r>
    </w:p>
    <w:p w:rsidR="00E62986" w:rsidRPr="001B3EF8" w:rsidRDefault="00E62986" w:rsidP="00E6298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1B3EF8">
        <w:rPr>
          <w:rFonts w:asciiTheme="majorHAnsi" w:hAnsiTheme="majorHAnsi"/>
          <w:b/>
          <w:sz w:val="28"/>
          <w:szCs w:val="28"/>
        </w:rPr>
        <w:t>Clinical Observation &amp; Research Experience</w:t>
      </w:r>
    </w:p>
    <w:p w:rsidR="0044383A" w:rsidRDefault="00E62986" w:rsidP="00E62986">
      <w:p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 xml:space="preserve">CORE - Clinical Observation &amp; Research Experience is a full-time, </w:t>
      </w:r>
      <w:r w:rsidR="007E34A7">
        <w:rPr>
          <w:rFonts w:asciiTheme="majorHAnsi" w:hAnsiTheme="majorHAnsi"/>
          <w:sz w:val="24"/>
          <w:szCs w:val="24"/>
        </w:rPr>
        <w:t>two</w:t>
      </w:r>
      <w:r w:rsidRPr="001B3EF8">
        <w:rPr>
          <w:rFonts w:asciiTheme="majorHAnsi" w:hAnsiTheme="majorHAnsi"/>
          <w:sz w:val="24"/>
          <w:szCs w:val="24"/>
        </w:rPr>
        <w:t xml:space="preserve"> week experience with the goal of providing a comprehensive, in-depth look at HIV services provided at the UAB 1917 (HIV/AIDS) Outpatient Clinic.  Through a carefully designed a curriculum each CORE student will interact one on one with our team of health professionals </w:t>
      </w:r>
      <w:r w:rsidR="0044383A">
        <w:rPr>
          <w:rFonts w:asciiTheme="majorHAnsi" w:hAnsiTheme="majorHAnsi"/>
          <w:sz w:val="24"/>
          <w:szCs w:val="24"/>
        </w:rPr>
        <w:t xml:space="preserve">and gain exposure to the team approach utilized to meet the many healthcare needs of our patient population.  The CORE rotation also includes participation in a variety of relevant educational meetings at the 1917 Clinic and the Division of Infectious Diseases.  </w:t>
      </w:r>
    </w:p>
    <w:p w:rsidR="000975B8" w:rsidRPr="001B3EF8" w:rsidRDefault="000975B8" w:rsidP="00E62986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1917 CORE Program accepts a full range of students interested in</w:t>
      </w:r>
      <w:r w:rsidR="008E5F5B">
        <w:rPr>
          <w:rFonts w:asciiTheme="majorHAnsi" w:hAnsiTheme="majorHAnsi"/>
          <w:sz w:val="24"/>
          <w:szCs w:val="24"/>
        </w:rPr>
        <w:t xml:space="preserve"> pursuing careers in healthcare who have completed at least two years of undergraduate study. Medical students and international professional students are also encouraged to apply.</w:t>
      </w:r>
    </w:p>
    <w:p w:rsidR="00E62986" w:rsidRPr="001B3EF8" w:rsidRDefault="00E62986" w:rsidP="00E62986">
      <w:p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>We believe this is an outstanding opportunity to obtain a broad view of HIV care including the following areas:</w:t>
      </w:r>
    </w:p>
    <w:p w:rsidR="001B3EF8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>Outreach - understanding HIV Prevention and Testing</w:t>
      </w:r>
    </w:p>
    <w:p w:rsidR="000B58E2" w:rsidRDefault="000B58E2" w:rsidP="000B58E2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1B3EF8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>Project CONNECT - connecting newly diagnosed individuals to care</w:t>
      </w:r>
    </w:p>
    <w:p w:rsidR="000B58E2" w:rsidRPr="000B58E2" w:rsidRDefault="000B58E2" w:rsidP="000B58E2">
      <w:pPr>
        <w:pStyle w:val="ListParagraph"/>
        <w:rPr>
          <w:rFonts w:asciiTheme="majorHAnsi" w:hAnsiTheme="majorHAnsi"/>
          <w:sz w:val="24"/>
          <w:szCs w:val="24"/>
        </w:rPr>
      </w:pPr>
    </w:p>
    <w:p w:rsidR="001B3EF8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 xml:space="preserve"> Team Approach to Care - observing providers, nurses, social services, nutritional services and front desk staff</w:t>
      </w:r>
    </w:p>
    <w:p w:rsidR="000B58E2" w:rsidRPr="000B58E2" w:rsidRDefault="000B58E2" w:rsidP="000B58E2">
      <w:pPr>
        <w:pStyle w:val="ListParagraph"/>
        <w:rPr>
          <w:rFonts w:asciiTheme="majorHAnsi" w:hAnsiTheme="majorHAnsi"/>
          <w:sz w:val="24"/>
          <w:szCs w:val="24"/>
        </w:rPr>
      </w:pPr>
    </w:p>
    <w:p w:rsidR="001B3EF8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>Clinical Trials - learning the operations of research trials</w:t>
      </w:r>
    </w:p>
    <w:p w:rsidR="000B58E2" w:rsidRPr="000B58E2" w:rsidRDefault="000B58E2" w:rsidP="000B58E2">
      <w:pPr>
        <w:pStyle w:val="ListParagraph"/>
        <w:rPr>
          <w:rFonts w:asciiTheme="majorHAnsi" w:hAnsiTheme="majorHAnsi"/>
          <w:sz w:val="24"/>
          <w:szCs w:val="24"/>
        </w:rPr>
      </w:pPr>
    </w:p>
    <w:p w:rsidR="001B3EF8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>Medication - training with pharmacy staff on ARV treatment</w:t>
      </w:r>
    </w:p>
    <w:p w:rsidR="000B58E2" w:rsidRPr="000B58E2" w:rsidRDefault="000B58E2" w:rsidP="000B58E2">
      <w:pPr>
        <w:pStyle w:val="ListParagraph"/>
        <w:rPr>
          <w:rFonts w:asciiTheme="majorHAnsi" w:hAnsiTheme="majorHAnsi"/>
          <w:sz w:val="24"/>
          <w:szCs w:val="24"/>
        </w:rPr>
      </w:pPr>
    </w:p>
    <w:p w:rsidR="001B3EF8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 xml:space="preserve"> Support Services - attending meetings for the Patient Advisory Board</w:t>
      </w:r>
      <w:r w:rsidR="00E87F7A">
        <w:rPr>
          <w:rFonts w:asciiTheme="majorHAnsi" w:hAnsiTheme="majorHAnsi"/>
          <w:sz w:val="24"/>
          <w:szCs w:val="24"/>
        </w:rPr>
        <w:t>, support groups,</w:t>
      </w:r>
      <w:r w:rsidRPr="001B3EF8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1B3EF8">
        <w:rPr>
          <w:rFonts w:asciiTheme="majorHAnsi" w:hAnsiTheme="majorHAnsi"/>
          <w:sz w:val="24"/>
          <w:szCs w:val="24"/>
        </w:rPr>
        <w:t>Heartsong</w:t>
      </w:r>
      <w:proofErr w:type="spellEnd"/>
      <w:r w:rsidRPr="001B3EF8">
        <w:rPr>
          <w:rFonts w:asciiTheme="majorHAnsi" w:hAnsiTheme="majorHAnsi"/>
          <w:sz w:val="24"/>
          <w:szCs w:val="24"/>
        </w:rPr>
        <w:t>, a spiritual support group</w:t>
      </w:r>
    </w:p>
    <w:p w:rsidR="000B58E2" w:rsidRPr="000B58E2" w:rsidRDefault="000B58E2" w:rsidP="000B58E2">
      <w:pPr>
        <w:pStyle w:val="ListParagraph"/>
        <w:rPr>
          <w:rFonts w:asciiTheme="majorHAnsi" w:hAnsiTheme="majorHAnsi"/>
          <w:sz w:val="24"/>
          <w:szCs w:val="24"/>
        </w:rPr>
      </w:pPr>
    </w:p>
    <w:p w:rsidR="00E62986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 xml:space="preserve">Dental Services - shadowing </w:t>
      </w:r>
      <w:r w:rsidR="00E87F7A">
        <w:rPr>
          <w:rFonts w:asciiTheme="majorHAnsi" w:hAnsiTheme="majorHAnsi"/>
          <w:sz w:val="24"/>
          <w:szCs w:val="24"/>
        </w:rPr>
        <w:t>in</w:t>
      </w:r>
      <w:r w:rsidRPr="001B3EF8">
        <w:rPr>
          <w:rFonts w:asciiTheme="majorHAnsi" w:hAnsiTheme="majorHAnsi"/>
          <w:sz w:val="24"/>
          <w:szCs w:val="24"/>
        </w:rPr>
        <w:t xml:space="preserve"> the 1917 Dental Clinic</w:t>
      </w:r>
    </w:p>
    <w:p w:rsidR="000B58E2" w:rsidRPr="000B58E2" w:rsidRDefault="000B58E2" w:rsidP="000B58E2">
      <w:pPr>
        <w:pStyle w:val="ListParagraph"/>
        <w:rPr>
          <w:rFonts w:asciiTheme="majorHAnsi" w:hAnsiTheme="majorHAnsi"/>
          <w:sz w:val="24"/>
          <w:szCs w:val="24"/>
        </w:rPr>
      </w:pPr>
    </w:p>
    <w:p w:rsidR="001B3EF8" w:rsidRDefault="001B3EF8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 xml:space="preserve">Research at 1917 through the 1917 Clinic Cohort and the UAB Center For AIDS Research (CFAR) </w:t>
      </w:r>
    </w:p>
    <w:p w:rsidR="000B58E2" w:rsidRPr="000B58E2" w:rsidRDefault="000B58E2" w:rsidP="000B58E2">
      <w:pPr>
        <w:pStyle w:val="ListParagraph"/>
        <w:rPr>
          <w:rFonts w:asciiTheme="majorHAnsi" w:hAnsiTheme="majorHAnsi"/>
          <w:sz w:val="24"/>
          <w:szCs w:val="24"/>
        </w:rPr>
      </w:pPr>
    </w:p>
    <w:p w:rsidR="00E62986" w:rsidRPr="001B3EF8" w:rsidRDefault="00E62986" w:rsidP="001B3EF8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1B3EF8">
        <w:rPr>
          <w:rFonts w:asciiTheme="majorHAnsi" w:hAnsiTheme="majorHAnsi"/>
          <w:sz w:val="24"/>
          <w:szCs w:val="24"/>
        </w:rPr>
        <w:t xml:space="preserve">Meetings/Educational Events - attending </w:t>
      </w:r>
      <w:r w:rsidR="00E87F7A">
        <w:rPr>
          <w:rFonts w:asciiTheme="majorHAnsi" w:hAnsiTheme="majorHAnsi"/>
          <w:sz w:val="24"/>
          <w:szCs w:val="24"/>
        </w:rPr>
        <w:t>provider meetings</w:t>
      </w:r>
      <w:r w:rsidRPr="001B3EF8">
        <w:rPr>
          <w:rFonts w:asciiTheme="majorHAnsi" w:hAnsiTheme="majorHAnsi"/>
          <w:sz w:val="24"/>
          <w:szCs w:val="24"/>
        </w:rPr>
        <w:t xml:space="preserve">, </w:t>
      </w:r>
      <w:r w:rsidR="001B3EF8" w:rsidRPr="001B3EF8">
        <w:rPr>
          <w:rFonts w:asciiTheme="majorHAnsi" w:hAnsiTheme="majorHAnsi"/>
          <w:sz w:val="24"/>
          <w:szCs w:val="24"/>
        </w:rPr>
        <w:t xml:space="preserve">staff in-services, </w:t>
      </w:r>
      <w:proofErr w:type="spellStart"/>
      <w:r w:rsidRPr="001B3EF8">
        <w:rPr>
          <w:rFonts w:asciiTheme="majorHAnsi" w:hAnsiTheme="majorHAnsi"/>
          <w:sz w:val="24"/>
          <w:szCs w:val="24"/>
        </w:rPr>
        <w:t>etc</w:t>
      </w:r>
      <w:proofErr w:type="spellEnd"/>
    </w:p>
    <w:p w:rsidR="00E62986" w:rsidRPr="00B47810" w:rsidRDefault="000975B8" w:rsidP="00E62986">
      <w:pPr>
        <w:spacing w:line="240" w:lineRule="auto"/>
        <w:rPr>
          <w:sz w:val="24"/>
          <w:szCs w:val="24"/>
        </w:rPr>
      </w:pPr>
      <w:r w:rsidRPr="00B47810">
        <w:rPr>
          <w:rFonts w:asciiTheme="majorHAnsi" w:hAnsiTheme="majorHAnsi"/>
          <w:sz w:val="24"/>
          <w:szCs w:val="24"/>
        </w:rPr>
        <w:t xml:space="preserve">For more information contact Kelly Ross-Davis, </w:t>
      </w:r>
      <w:hyperlink r:id="rId6" w:history="1">
        <w:r w:rsidRPr="00B47810">
          <w:rPr>
            <w:rStyle w:val="Hyperlink"/>
            <w:rFonts w:asciiTheme="majorHAnsi" w:hAnsiTheme="majorHAnsi"/>
            <w:sz w:val="24"/>
            <w:szCs w:val="24"/>
          </w:rPr>
          <w:t>KRD@uab.edu</w:t>
        </w:r>
      </w:hyperlink>
      <w:r w:rsidRPr="00B47810">
        <w:rPr>
          <w:rFonts w:asciiTheme="majorHAnsi" w:hAnsiTheme="majorHAnsi"/>
          <w:sz w:val="24"/>
          <w:szCs w:val="24"/>
        </w:rPr>
        <w:t xml:space="preserve">, 205-934-9253 or James Willig, MD, </w:t>
      </w:r>
      <w:hyperlink r:id="rId7" w:history="1">
        <w:r w:rsidRPr="00B47810">
          <w:rPr>
            <w:rStyle w:val="Hyperlink"/>
            <w:rFonts w:asciiTheme="majorHAnsi" w:hAnsiTheme="majorHAnsi"/>
            <w:sz w:val="24"/>
            <w:szCs w:val="24"/>
          </w:rPr>
          <w:t>jwillig@uab.edu</w:t>
        </w:r>
      </w:hyperlink>
      <w:r w:rsidRPr="00B47810">
        <w:rPr>
          <w:rFonts w:asciiTheme="majorHAnsi" w:hAnsiTheme="majorHAnsi"/>
          <w:sz w:val="24"/>
          <w:szCs w:val="24"/>
        </w:rPr>
        <w:t>, 205-996-5753.</w:t>
      </w:r>
    </w:p>
    <w:p w:rsidR="00A47259" w:rsidRPr="00B47810" w:rsidRDefault="000B58E2" w:rsidP="00E62986">
      <w:pPr>
        <w:spacing w:line="240" w:lineRule="auto"/>
        <w:rPr>
          <w:rFonts w:asciiTheme="majorHAnsi" w:hAnsiTheme="majorHAnsi"/>
          <w:sz w:val="24"/>
          <w:szCs w:val="24"/>
        </w:rPr>
      </w:pPr>
      <w:r w:rsidRPr="00B47810">
        <w:rPr>
          <w:rFonts w:asciiTheme="majorHAnsi" w:hAnsiTheme="majorHAnsi"/>
          <w:noProof/>
          <w:sz w:val="24"/>
          <w:szCs w:val="24"/>
        </w:rPr>
        <w:t xml:space="preserve">To apply to CORE, please complete the </w:t>
      </w:r>
      <w:r w:rsidR="00E87F7A">
        <w:rPr>
          <w:rFonts w:asciiTheme="majorHAnsi" w:hAnsiTheme="majorHAnsi"/>
          <w:noProof/>
          <w:sz w:val="24"/>
          <w:szCs w:val="24"/>
        </w:rPr>
        <w:t xml:space="preserve">application </w:t>
      </w:r>
      <w:r w:rsidRPr="00B47810">
        <w:rPr>
          <w:rFonts w:asciiTheme="majorHAnsi" w:hAnsiTheme="majorHAnsi"/>
          <w:noProof/>
          <w:sz w:val="24"/>
          <w:szCs w:val="24"/>
        </w:rPr>
        <w:t xml:space="preserve">and submit to Kelly Ross-Davis, </w:t>
      </w:r>
      <w:hyperlink r:id="rId8" w:history="1">
        <w:r w:rsidRPr="00B47810">
          <w:rPr>
            <w:rStyle w:val="Hyperlink"/>
            <w:rFonts w:asciiTheme="majorHAnsi" w:hAnsiTheme="majorHAnsi"/>
            <w:noProof/>
            <w:sz w:val="24"/>
            <w:szCs w:val="24"/>
          </w:rPr>
          <w:t>krd@uab.edu</w:t>
        </w:r>
      </w:hyperlink>
      <w:r w:rsidRPr="00B47810">
        <w:rPr>
          <w:rFonts w:asciiTheme="majorHAnsi" w:hAnsiTheme="majorHAnsi"/>
          <w:noProof/>
          <w:sz w:val="24"/>
          <w:szCs w:val="24"/>
        </w:rPr>
        <w:t xml:space="preserve">. </w:t>
      </w:r>
      <w:r w:rsidRPr="00B47810">
        <w:rPr>
          <w:rFonts w:asciiTheme="majorHAnsi" w:hAnsiTheme="majorHAnsi"/>
          <w:sz w:val="24"/>
          <w:szCs w:val="24"/>
        </w:rPr>
        <w:t xml:space="preserve"> </w:t>
      </w:r>
    </w:p>
    <w:p w:rsidR="00A47259" w:rsidRDefault="00E87F7A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2843B8B7" wp14:editId="4911FC14">
            <wp:simplePos x="0" y="0"/>
            <wp:positionH relativeFrom="column">
              <wp:posOffset>4790440</wp:posOffset>
            </wp:positionH>
            <wp:positionV relativeFrom="paragraph">
              <wp:posOffset>505460</wp:posOffset>
            </wp:positionV>
            <wp:extent cx="1819275" cy="815975"/>
            <wp:effectExtent l="0" t="0" r="0" b="0"/>
            <wp:wrapThrough wrapText="bothSides">
              <wp:wrapPolygon edited="0">
                <wp:start x="0" y="0"/>
                <wp:lineTo x="0" y="21180"/>
                <wp:lineTo x="21487" y="21180"/>
                <wp:lineTo x="21487" y="0"/>
                <wp:lineTo x="0" y="0"/>
              </wp:wrapPolygon>
            </wp:wrapThrough>
            <wp:docPr id="3" name="Picture 1" descr="cfarlogo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arlogo croppe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7C072945" wp14:editId="39C72784">
            <wp:simplePos x="0" y="0"/>
            <wp:positionH relativeFrom="column">
              <wp:posOffset>-114300</wp:posOffset>
            </wp:positionH>
            <wp:positionV relativeFrom="paragraph">
              <wp:posOffset>493395</wp:posOffset>
            </wp:positionV>
            <wp:extent cx="2856230" cy="828675"/>
            <wp:effectExtent l="0" t="0" r="0" b="0"/>
            <wp:wrapThrough wrapText="bothSides">
              <wp:wrapPolygon edited="0">
                <wp:start x="0" y="0"/>
                <wp:lineTo x="0" y="21352"/>
                <wp:lineTo x="21466" y="21352"/>
                <wp:lineTo x="21466" y="0"/>
                <wp:lineTo x="0" y="0"/>
              </wp:wrapPolygon>
            </wp:wrapThrough>
            <wp:docPr id="1" name="Picture 0" descr="1917cli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7clini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259" w:rsidSect="00B47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numPicBullet w:numPicBulletId="1">
    <w:pict>
      <v:shape id="_x0000_i1027" type="#_x0000_t75" style="width:9pt;height:9pt" o:bullet="t">
        <v:imagedata r:id="rId2" o:title="BD14656_"/>
      </v:shape>
    </w:pict>
  </w:numPicBullet>
  <w:abstractNum w:abstractNumId="0">
    <w:nsid w:val="20867BEA"/>
    <w:multiLevelType w:val="hybridMultilevel"/>
    <w:tmpl w:val="1E3A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D2DC6"/>
    <w:multiLevelType w:val="hybridMultilevel"/>
    <w:tmpl w:val="169EEB28"/>
    <w:lvl w:ilvl="0" w:tplc="7136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365FC"/>
    <w:multiLevelType w:val="hybridMultilevel"/>
    <w:tmpl w:val="654EC532"/>
    <w:lvl w:ilvl="0" w:tplc="7136A7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5E24"/>
    <w:multiLevelType w:val="hybridMultilevel"/>
    <w:tmpl w:val="C1B48ACC"/>
    <w:lvl w:ilvl="0" w:tplc="05D4ED3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B205EA9"/>
    <w:multiLevelType w:val="hybridMultilevel"/>
    <w:tmpl w:val="80269E02"/>
    <w:lvl w:ilvl="0" w:tplc="7136A7EC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A2237"/>
    <w:multiLevelType w:val="hybridMultilevel"/>
    <w:tmpl w:val="E5FA25FA"/>
    <w:lvl w:ilvl="0" w:tplc="7136A7EC">
      <w:start w:val="1"/>
      <w:numFmt w:val="bullet"/>
      <w:lvlText w:val=""/>
      <w:lvlPicBulletId w:val="1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2DC225C"/>
    <w:multiLevelType w:val="hybridMultilevel"/>
    <w:tmpl w:val="D956772A"/>
    <w:lvl w:ilvl="0" w:tplc="05D4ED3C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986"/>
    <w:rsid w:val="000975B8"/>
    <w:rsid w:val="000B58E2"/>
    <w:rsid w:val="001B3EF8"/>
    <w:rsid w:val="001D2C35"/>
    <w:rsid w:val="00337A3F"/>
    <w:rsid w:val="003E0DC1"/>
    <w:rsid w:val="0044383A"/>
    <w:rsid w:val="007E34A7"/>
    <w:rsid w:val="008E5F5B"/>
    <w:rsid w:val="00A423E8"/>
    <w:rsid w:val="00A47259"/>
    <w:rsid w:val="00A83124"/>
    <w:rsid w:val="00AA4355"/>
    <w:rsid w:val="00B47810"/>
    <w:rsid w:val="00D936D9"/>
    <w:rsid w:val="00E62986"/>
    <w:rsid w:val="00E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9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d@uab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willig@ua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D@uab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Birmingham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kross</dc:creator>
  <cp:keywords/>
  <dc:description/>
  <cp:lastModifiedBy>Kelly L. Ross Davis</cp:lastModifiedBy>
  <cp:revision>4</cp:revision>
  <dcterms:created xsi:type="dcterms:W3CDTF">2013-05-01T18:50:00Z</dcterms:created>
  <dcterms:modified xsi:type="dcterms:W3CDTF">2015-05-29T19:06:00Z</dcterms:modified>
</cp:coreProperties>
</file>