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8530" w14:textId="1CAA7C1B" w:rsidR="00704A62" w:rsidRPr="007474AB" w:rsidRDefault="00357F73" w:rsidP="00704A62">
      <w:pPr>
        <w:spacing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7474AB">
        <w:rPr>
          <w:rFonts w:ascii="Arial" w:hAnsi="Arial" w:cs="Arial"/>
          <w:b/>
          <w:bCs/>
          <w:sz w:val="22"/>
          <w:szCs w:val="22"/>
        </w:rPr>
        <w:t xml:space="preserve">Immunophenotyping </w:t>
      </w:r>
      <w:r w:rsidR="00704A62" w:rsidRPr="007474AB">
        <w:rPr>
          <w:rFonts w:ascii="Arial" w:hAnsi="Arial" w:cs="Arial"/>
          <w:b/>
          <w:bCs/>
          <w:sz w:val="22"/>
          <w:szCs w:val="22"/>
        </w:rPr>
        <w:t>Voucher RFA Application Cover Page</w:t>
      </w:r>
    </w:p>
    <w:p w14:paraId="7F2A36A6" w14:textId="77777777" w:rsidR="00194EDF" w:rsidRPr="007474AB" w:rsidRDefault="00194EDF" w:rsidP="00704A62">
      <w:pPr>
        <w:spacing w:after="1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7F106D" w14:textId="03D41E92" w:rsidR="00C95CC7" w:rsidRPr="007474AB" w:rsidRDefault="00C95CC7" w:rsidP="00076D95">
      <w:pPr>
        <w:spacing w:after="1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b/>
          <w:bCs/>
          <w:sz w:val="22"/>
          <w:szCs w:val="22"/>
        </w:rPr>
        <w:t>PI Name(s)</w:t>
      </w:r>
      <w:r w:rsidRPr="007474AB">
        <w:rPr>
          <w:rFonts w:ascii="Arial" w:hAnsi="Arial" w:cs="Arial"/>
          <w:sz w:val="22"/>
          <w:szCs w:val="22"/>
        </w:rPr>
        <w:t>: __________________________________________________________________________</w:t>
      </w:r>
    </w:p>
    <w:p w14:paraId="36E17C35" w14:textId="7F15B338" w:rsidR="00C95CC7" w:rsidRPr="007474AB" w:rsidRDefault="00C95CC7" w:rsidP="00076D95">
      <w:pPr>
        <w:spacing w:after="1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b/>
          <w:bCs/>
          <w:sz w:val="22"/>
          <w:szCs w:val="22"/>
        </w:rPr>
        <w:t>Co-Investigators</w:t>
      </w:r>
      <w:r w:rsidRPr="007474AB">
        <w:rPr>
          <w:rFonts w:ascii="Arial" w:hAnsi="Arial" w:cs="Arial"/>
          <w:sz w:val="22"/>
          <w:szCs w:val="22"/>
        </w:rPr>
        <w:t>: ________________________________________________________________________</w:t>
      </w:r>
    </w:p>
    <w:p w14:paraId="432023E2" w14:textId="14D90919" w:rsidR="00C95CC7" w:rsidRPr="007474AB" w:rsidRDefault="00C95CC7" w:rsidP="00076D95">
      <w:pPr>
        <w:spacing w:after="1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5422F9E7" w14:textId="62EA69DA" w:rsidR="00C95CC7" w:rsidRPr="007474AB" w:rsidRDefault="00C95CC7" w:rsidP="00076D95">
      <w:pPr>
        <w:spacing w:after="1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b/>
          <w:bCs/>
          <w:sz w:val="22"/>
          <w:szCs w:val="22"/>
        </w:rPr>
        <w:t>TITLE of APPLICATION</w:t>
      </w:r>
      <w:r w:rsidRPr="007474AB">
        <w:rPr>
          <w:rFonts w:ascii="Arial" w:hAnsi="Arial" w:cs="Arial"/>
          <w:sz w:val="22"/>
          <w:szCs w:val="22"/>
        </w:rPr>
        <w:t>: __________________________________________________________________</w:t>
      </w:r>
    </w:p>
    <w:p w14:paraId="4311BA90" w14:textId="44DCCDC2" w:rsidR="00C95CC7" w:rsidRPr="007474AB" w:rsidRDefault="00C95CC7" w:rsidP="00076D95">
      <w:pPr>
        <w:spacing w:after="1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059953F2" w14:textId="5D136915" w:rsidR="00704A62" w:rsidRPr="007474AB" w:rsidRDefault="00C95CC7" w:rsidP="007474AB">
      <w:pPr>
        <w:pStyle w:val="ListParagraph"/>
        <w:numPr>
          <w:ilvl w:val="0"/>
          <w:numId w:val="5"/>
        </w:numPr>
        <w:spacing w:after="1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>Template is 0.5 inch margins, Arial 11.</w:t>
      </w:r>
    </w:p>
    <w:p w14:paraId="022ADDB3" w14:textId="6719C0A5" w:rsidR="00C3030E" w:rsidRPr="007474AB" w:rsidRDefault="00C3030E" w:rsidP="00C3030E">
      <w:pPr>
        <w:numPr>
          <w:ilvl w:val="0"/>
          <w:numId w:val="5"/>
        </w:numPr>
        <w:spacing w:after="120" w:line="259" w:lineRule="auto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 xml:space="preserve">You have </w:t>
      </w:r>
      <w:r w:rsidR="002768F0" w:rsidRPr="007474AB">
        <w:rPr>
          <w:rFonts w:ascii="Arial" w:hAnsi="Arial" w:cs="Arial"/>
          <w:sz w:val="22"/>
          <w:szCs w:val="22"/>
        </w:rPr>
        <w:t xml:space="preserve">up to a maximum of </w:t>
      </w:r>
      <w:r w:rsidRPr="007474AB">
        <w:rPr>
          <w:rFonts w:ascii="Arial" w:hAnsi="Arial" w:cs="Arial"/>
          <w:b/>
          <w:bCs/>
          <w:sz w:val="22"/>
          <w:szCs w:val="22"/>
        </w:rPr>
        <w:t>two (2) pages</w:t>
      </w:r>
      <w:r w:rsidRPr="007474AB">
        <w:rPr>
          <w:rFonts w:ascii="Arial" w:hAnsi="Arial" w:cs="Arial"/>
          <w:sz w:val="22"/>
          <w:szCs w:val="22"/>
        </w:rPr>
        <w:t xml:space="preserve"> to provide the </w:t>
      </w:r>
      <w:r w:rsidRPr="007474AB">
        <w:rPr>
          <w:rFonts w:ascii="Arial" w:hAnsi="Arial" w:cs="Arial"/>
          <w:sz w:val="22"/>
          <w:szCs w:val="22"/>
          <w:u w:val="single"/>
        </w:rPr>
        <w:t>Experimental Plan</w:t>
      </w:r>
      <w:r w:rsidRPr="007474AB">
        <w:rPr>
          <w:rFonts w:ascii="Arial" w:hAnsi="Arial" w:cs="Arial"/>
          <w:sz w:val="22"/>
          <w:szCs w:val="22"/>
        </w:rPr>
        <w:t xml:space="preserve">: </w:t>
      </w:r>
    </w:p>
    <w:p w14:paraId="4187BC06" w14:textId="77777777" w:rsidR="00C3030E" w:rsidRPr="007474AB" w:rsidRDefault="00C3030E" w:rsidP="00C3030E">
      <w:pPr>
        <w:ind w:left="1800" w:hanging="3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 xml:space="preserve">a) </w:t>
      </w:r>
      <w:r w:rsidRPr="007474AB">
        <w:rPr>
          <w:rFonts w:ascii="Arial" w:hAnsi="Arial" w:cs="Arial"/>
          <w:sz w:val="22"/>
          <w:szCs w:val="22"/>
        </w:rPr>
        <w:tab/>
        <w:t xml:space="preserve">Proposal objectives/goals; </w:t>
      </w:r>
    </w:p>
    <w:p w14:paraId="0F44FB2A" w14:textId="62005E7E" w:rsidR="00C3030E" w:rsidRPr="007474AB" w:rsidRDefault="00C3030E" w:rsidP="00C3030E">
      <w:pPr>
        <w:ind w:left="1800" w:hanging="3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 xml:space="preserve">b) </w:t>
      </w:r>
      <w:r w:rsidRPr="007474AB">
        <w:rPr>
          <w:rFonts w:ascii="Arial" w:hAnsi="Arial" w:cs="Arial"/>
          <w:sz w:val="22"/>
          <w:szCs w:val="22"/>
        </w:rPr>
        <w:tab/>
        <w:t xml:space="preserve">Description of the proposed experiment(s); </w:t>
      </w:r>
    </w:p>
    <w:p w14:paraId="2F697FE9" w14:textId="77777777" w:rsidR="002768F0" w:rsidRPr="007474AB" w:rsidRDefault="00C3030E" w:rsidP="002768F0">
      <w:pPr>
        <w:ind w:left="1800" w:hanging="3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 xml:space="preserve">c) </w:t>
      </w:r>
      <w:r w:rsidRPr="007474AB">
        <w:rPr>
          <w:rFonts w:ascii="Arial" w:hAnsi="Arial" w:cs="Arial"/>
          <w:sz w:val="22"/>
          <w:szCs w:val="22"/>
        </w:rPr>
        <w:tab/>
        <w:t>Timeline for proposed experiment(s</w:t>
      </w:r>
      <w:r w:rsidR="002768F0" w:rsidRPr="007474AB">
        <w:rPr>
          <w:rFonts w:ascii="Arial" w:hAnsi="Arial" w:cs="Arial"/>
          <w:sz w:val="22"/>
          <w:szCs w:val="22"/>
        </w:rPr>
        <w:t xml:space="preserve">). </w:t>
      </w:r>
    </w:p>
    <w:p w14:paraId="24D885C2" w14:textId="097E2346" w:rsidR="002768F0" w:rsidRPr="007474AB" w:rsidRDefault="002768F0" w:rsidP="002768F0">
      <w:pPr>
        <w:ind w:left="1800" w:firstLine="3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 xml:space="preserve">i. Describe whether the samples that will be analyzed in the proposal are already collected/available or will need to be obtained before flow cytometry analysis can begin. </w:t>
      </w:r>
    </w:p>
    <w:p w14:paraId="1C0363F3" w14:textId="003FC4C9" w:rsidR="002768F0" w:rsidRPr="007474AB" w:rsidRDefault="002768F0" w:rsidP="00BC63CD">
      <w:pPr>
        <w:ind w:left="1800" w:firstLine="3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>ii. If samples need to be collected, indicate whether an IRB has already been approved or whether the IRB has designated the work as NHSR. If IRB approval is still needed</w:t>
      </w:r>
      <w:r w:rsidR="00DF1061" w:rsidRPr="007474AB">
        <w:rPr>
          <w:rFonts w:ascii="Arial" w:hAnsi="Arial" w:cs="Arial"/>
          <w:sz w:val="22"/>
          <w:szCs w:val="22"/>
        </w:rPr>
        <w:t>, be</w:t>
      </w:r>
      <w:r w:rsidRPr="007474AB">
        <w:rPr>
          <w:rFonts w:ascii="Arial" w:hAnsi="Arial" w:cs="Arial"/>
          <w:sz w:val="22"/>
          <w:szCs w:val="22"/>
        </w:rPr>
        <w:t xml:space="preserve"> sure that you include the IRB application in your proposal timeline. </w:t>
      </w:r>
    </w:p>
    <w:p w14:paraId="6C736508" w14:textId="4CB32212" w:rsidR="003E5AF6" w:rsidRPr="007474AB" w:rsidRDefault="00C3030E" w:rsidP="007474AB">
      <w:pPr>
        <w:spacing w:after="160"/>
        <w:ind w:left="1800" w:hanging="360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sz w:val="22"/>
          <w:szCs w:val="22"/>
        </w:rPr>
        <w:t xml:space="preserve">d) </w:t>
      </w:r>
      <w:r w:rsidRPr="007474AB">
        <w:rPr>
          <w:rFonts w:ascii="Arial" w:hAnsi="Arial" w:cs="Arial"/>
          <w:sz w:val="22"/>
          <w:szCs w:val="22"/>
        </w:rPr>
        <w:tab/>
        <w:t xml:space="preserve"> Milestone description including future grant applications and/or manuscript submissions. </w:t>
      </w:r>
    </w:p>
    <w:p w14:paraId="15238A98" w14:textId="1A108287" w:rsidR="007474AB" w:rsidRDefault="00C3030E" w:rsidP="007474AB">
      <w:pPr>
        <w:numPr>
          <w:ilvl w:val="0"/>
          <w:numId w:val="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b/>
          <w:bCs/>
          <w:sz w:val="22"/>
          <w:szCs w:val="22"/>
        </w:rPr>
        <w:t>Attach Single PDF</w:t>
      </w:r>
      <w:r w:rsidRPr="007474AB">
        <w:rPr>
          <w:rFonts w:ascii="Arial" w:hAnsi="Arial" w:cs="Arial"/>
          <w:sz w:val="22"/>
          <w:szCs w:val="22"/>
        </w:rPr>
        <w:t>: Application = Cover Page</w:t>
      </w:r>
      <w:r w:rsidR="007474AB">
        <w:rPr>
          <w:rFonts w:ascii="Arial" w:hAnsi="Arial" w:cs="Arial"/>
          <w:sz w:val="22"/>
          <w:szCs w:val="22"/>
        </w:rPr>
        <w:t xml:space="preserve"> with completed Budget Table</w:t>
      </w:r>
      <w:r w:rsidRPr="007474AB">
        <w:rPr>
          <w:rFonts w:ascii="Arial" w:hAnsi="Arial" w:cs="Arial"/>
          <w:sz w:val="22"/>
          <w:szCs w:val="22"/>
        </w:rPr>
        <w:t xml:space="preserve">, </w:t>
      </w:r>
      <w:r w:rsidR="002768F0" w:rsidRPr="007474AB">
        <w:rPr>
          <w:rFonts w:ascii="Arial" w:hAnsi="Arial" w:cs="Arial"/>
          <w:sz w:val="22"/>
          <w:szCs w:val="22"/>
        </w:rPr>
        <w:t xml:space="preserve">maximum </w:t>
      </w:r>
      <w:r w:rsidRPr="007474AB">
        <w:rPr>
          <w:rFonts w:ascii="Arial" w:hAnsi="Arial" w:cs="Arial"/>
          <w:sz w:val="22"/>
          <w:szCs w:val="22"/>
        </w:rPr>
        <w:t>2 page narrative including sections a-d,</w:t>
      </w:r>
      <w:r w:rsidR="002768F0" w:rsidRPr="007474AB">
        <w:rPr>
          <w:rFonts w:ascii="Arial" w:hAnsi="Arial" w:cs="Arial"/>
          <w:sz w:val="22"/>
          <w:szCs w:val="22"/>
        </w:rPr>
        <w:t xml:space="preserve"> </w:t>
      </w:r>
      <w:r w:rsidRPr="007474AB">
        <w:rPr>
          <w:rFonts w:ascii="Arial" w:hAnsi="Arial" w:cs="Arial"/>
          <w:sz w:val="22"/>
          <w:szCs w:val="22"/>
        </w:rPr>
        <w:t xml:space="preserve"> </w:t>
      </w:r>
      <w:r w:rsidR="002768F0" w:rsidRPr="007474AB">
        <w:rPr>
          <w:rFonts w:ascii="Arial" w:hAnsi="Arial" w:cs="Arial"/>
          <w:sz w:val="22"/>
          <w:szCs w:val="22"/>
        </w:rPr>
        <w:t>IRB approval letter or NHSR designation letter if you already have approval,</w:t>
      </w:r>
      <w:r w:rsidRPr="007474AB">
        <w:rPr>
          <w:rFonts w:ascii="Arial" w:hAnsi="Arial" w:cs="Arial"/>
          <w:sz w:val="22"/>
          <w:szCs w:val="22"/>
        </w:rPr>
        <w:t xml:space="preserve"> references, and biosketches of PI and Co-Investigators.</w:t>
      </w:r>
    </w:p>
    <w:p w14:paraId="7D783234" w14:textId="77777777" w:rsidR="007474AB" w:rsidRPr="007474AB" w:rsidRDefault="007474AB" w:rsidP="007474AB">
      <w:pPr>
        <w:spacing w:after="160" w:line="259" w:lineRule="auto"/>
        <w:ind w:left="720"/>
        <w:rPr>
          <w:rFonts w:ascii="Arial" w:hAnsi="Arial" w:cs="Arial"/>
          <w:sz w:val="22"/>
          <w:szCs w:val="22"/>
        </w:rPr>
      </w:pPr>
    </w:p>
    <w:p w14:paraId="27D10A1E" w14:textId="0CD994AF" w:rsidR="00076D95" w:rsidRPr="007474AB" w:rsidRDefault="007474AB" w:rsidP="007474AB">
      <w:pPr>
        <w:spacing w:line="278" w:lineRule="auto"/>
        <w:rPr>
          <w:rFonts w:ascii="Arial" w:hAnsi="Arial" w:cs="Arial"/>
          <w:b/>
          <w:bCs/>
          <w:sz w:val="22"/>
          <w:szCs w:val="22"/>
        </w:rPr>
      </w:pPr>
      <w:r w:rsidRPr="007474AB">
        <w:rPr>
          <w:rFonts w:ascii="Arial" w:hAnsi="Arial" w:cs="Arial"/>
          <w:b/>
          <w:bCs/>
          <w:sz w:val="22"/>
          <w:szCs w:val="22"/>
        </w:rPr>
        <w:t>B</w:t>
      </w:r>
      <w:r w:rsidR="003E5AF6" w:rsidRPr="007474AB">
        <w:rPr>
          <w:rFonts w:ascii="Arial" w:hAnsi="Arial" w:cs="Arial"/>
          <w:b/>
          <w:bCs/>
          <w:sz w:val="22"/>
          <w:szCs w:val="22"/>
        </w:rPr>
        <w:t xml:space="preserve">UDGET </w:t>
      </w:r>
    </w:p>
    <w:p w14:paraId="442596A7" w14:textId="77777777" w:rsidR="003E5AF6" w:rsidRPr="007474AB" w:rsidRDefault="003E5AF6" w:rsidP="00076D9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549"/>
        <w:gridCol w:w="1799"/>
        <w:gridCol w:w="2517"/>
      </w:tblGrid>
      <w:tr w:rsidR="003E5AF6" w:rsidRPr="007474AB" w14:paraId="02337D5E" w14:textId="77777777" w:rsidTr="003E5AF6">
        <w:tc>
          <w:tcPr>
            <w:tcW w:w="3865" w:type="dxa"/>
          </w:tcPr>
          <w:p w14:paraId="3C568469" w14:textId="26B64C85" w:rsidR="003E5AF6" w:rsidRPr="007474AB" w:rsidRDefault="003E5AF6" w:rsidP="00076D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4AB">
              <w:rPr>
                <w:rFonts w:ascii="Arial" w:hAnsi="Arial" w:cs="Arial"/>
                <w:b/>
                <w:bCs/>
                <w:sz w:val="22"/>
                <w:szCs w:val="22"/>
              </w:rPr>
              <w:t>PANEL</w:t>
            </w:r>
          </w:p>
        </w:tc>
        <w:tc>
          <w:tcPr>
            <w:tcW w:w="1549" w:type="dxa"/>
          </w:tcPr>
          <w:p w14:paraId="5E227680" w14:textId="5C92EF1F" w:rsidR="003E5AF6" w:rsidRPr="007474AB" w:rsidRDefault="003E5AF6" w:rsidP="00076D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4AB">
              <w:rPr>
                <w:rFonts w:ascii="Arial" w:hAnsi="Arial" w:cs="Arial"/>
                <w:b/>
                <w:bCs/>
                <w:sz w:val="22"/>
                <w:szCs w:val="22"/>
              </w:rPr>
              <w:t>Cost/Sample</w:t>
            </w:r>
          </w:p>
        </w:tc>
        <w:tc>
          <w:tcPr>
            <w:tcW w:w="1799" w:type="dxa"/>
          </w:tcPr>
          <w:p w14:paraId="6B28FBD7" w14:textId="66631F6D" w:rsidR="003E5AF6" w:rsidRPr="007474AB" w:rsidRDefault="003E5AF6" w:rsidP="00076D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4AB">
              <w:rPr>
                <w:rFonts w:ascii="Arial" w:hAnsi="Arial" w:cs="Arial"/>
                <w:b/>
                <w:bCs/>
                <w:sz w:val="22"/>
                <w:szCs w:val="22"/>
              </w:rPr>
              <w:t># of Samples to be Analyzed</w:t>
            </w:r>
          </w:p>
        </w:tc>
        <w:tc>
          <w:tcPr>
            <w:tcW w:w="2517" w:type="dxa"/>
          </w:tcPr>
          <w:p w14:paraId="1E52642A" w14:textId="512307ED" w:rsidR="003E5AF6" w:rsidRPr="007474AB" w:rsidRDefault="003E5AF6" w:rsidP="00076D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4AB">
              <w:rPr>
                <w:rFonts w:ascii="Arial" w:hAnsi="Arial" w:cs="Arial"/>
                <w:b/>
                <w:bCs/>
                <w:sz w:val="22"/>
                <w:szCs w:val="22"/>
              </w:rPr>
              <w:t>TOTAL COST/panel</w:t>
            </w:r>
          </w:p>
        </w:tc>
      </w:tr>
      <w:tr w:rsidR="003E5AF6" w:rsidRPr="007474AB" w14:paraId="259E6ED2" w14:textId="77777777" w:rsidTr="003E5AF6">
        <w:tc>
          <w:tcPr>
            <w:tcW w:w="3865" w:type="dxa"/>
          </w:tcPr>
          <w:p w14:paraId="0C5D3985" w14:textId="7FE05FBD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PBMC Panel</w:t>
            </w:r>
          </w:p>
        </w:tc>
        <w:tc>
          <w:tcPr>
            <w:tcW w:w="1549" w:type="dxa"/>
          </w:tcPr>
          <w:p w14:paraId="6F7469E6" w14:textId="222A594B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$143</w:t>
            </w:r>
          </w:p>
        </w:tc>
        <w:tc>
          <w:tcPr>
            <w:tcW w:w="1799" w:type="dxa"/>
          </w:tcPr>
          <w:p w14:paraId="600F916F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504B27D0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F6" w:rsidRPr="007474AB" w14:paraId="4F833262" w14:textId="77777777" w:rsidTr="003E5AF6">
        <w:tc>
          <w:tcPr>
            <w:tcW w:w="3865" w:type="dxa"/>
          </w:tcPr>
          <w:p w14:paraId="4A0E35D8" w14:textId="7D39B365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B Cell Panel</w:t>
            </w:r>
          </w:p>
        </w:tc>
        <w:tc>
          <w:tcPr>
            <w:tcW w:w="1549" w:type="dxa"/>
          </w:tcPr>
          <w:p w14:paraId="1E348B38" w14:textId="23491EA2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$124</w:t>
            </w:r>
          </w:p>
        </w:tc>
        <w:tc>
          <w:tcPr>
            <w:tcW w:w="1799" w:type="dxa"/>
          </w:tcPr>
          <w:p w14:paraId="60CD9E76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4B44FAC5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F6" w:rsidRPr="007474AB" w14:paraId="282721B5" w14:textId="77777777" w:rsidTr="003E5AF6">
        <w:tc>
          <w:tcPr>
            <w:tcW w:w="3865" w:type="dxa"/>
          </w:tcPr>
          <w:p w14:paraId="7730BDC7" w14:textId="275FA556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T Cell BASIC Panel</w:t>
            </w:r>
          </w:p>
        </w:tc>
        <w:tc>
          <w:tcPr>
            <w:tcW w:w="1549" w:type="dxa"/>
          </w:tcPr>
          <w:p w14:paraId="23ED75E1" w14:textId="10D575FB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$124</w:t>
            </w:r>
          </w:p>
        </w:tc>
        <w:tc>
          <w:tcPr>
            <w:tcW w:w="1799" w:type="dxa"/>
          </w:tcPr>
          <w:p w14:paraId="67CFF282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2F9740CA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AF6" w:rsidRPr="007474AB" w14:paraId="48B7405D" w14:textId="77777777" w:rsidTr="003E5AF6">
        <w:tc>
          <w:tcPr>
            <w:tcW w:w="3865" w:type="dxa"/>
          </w:tcPr>
          <w:p w14:paraId="0044F39A" w14:textId="15795E9B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T Cell EXTENDED Panel</w:t>
            </w:r>
          </w:p>
        </w:tc>
        <w:tc>
          <w:tcPr>
            <w:tcW w:w="1549" w:type="dxa"/>
          </w:tcPr>
          <w:p w14:paraId="7041FC10" w14:textId="706DB580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  <w:r w:rsidRPr="007474AB">
              <w:rPr>
                <w:rFonts w:ascii="Arial" w:hAnsi="Arial" w:cs="Arial"/>
                <w:sz w:val="22"/>
                <w:szCs w:val="22"/>
              </w:rPr>
              <w:t>$213</w:t>
            </w:r>
          </w:p>
        </w:tc>
        <w:tc>
          <w:tcPr>
            <w:tcW w:w="1799" w:type="dxa"/>
          </w:tcPr>
          <w:p w14:paraId="2E6FD698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38852EC" w14:textId="77777777" w:rsidR="003E5AF6" w:rsidRPr="007474AB" w:rsidRDefault="003E5AF6" w:rsidP="00076D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E8DB06" w14:textId="77777777" w:rsidR="00076D95" w:rsidRPr="007474AB" w:rsidRDefault="00076D95" w:rsidP="00076D95">
      <w:pPr>
        <w:rPr>
          <w:rFonts w:ascii="Arial" w:hAnsi="Arial" w:cs="Arial"/>
          <w:sz w:val="22"/>
          <w:szCs w:val="22"/>
        </w:rPr>
      </w:pPr>
    </w:p>
    <w:p w14:paraId="66AA4359" w14:textId="77777777" w:rsidR="008B6C60" w:rsidRPr="007474AB" w:rsidRDefault="008B6C60">
      <w:pPr>
        <w:rPr>
          <w:rFonts w:ascii="Arial" w:hAnsi="Arial" w:cs="Arial"/>
          <w:sz w:val="22"/>
          <w:szCs w:val="22"/>
        </w:rPr>
      </w:pPr>
    </w:p>
    <w:p w14:paraId="6EFB3B2A" w14:textId="3A69043E" w:rsidR="00076D95" w:rsidRPr="007474AB" w:rsidRDefault="000D4AF5" w:rsidP="00C95CC7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="003E5AF6" w:rsidRPr="007474AB">
        <w:rPr>
          <w:rFonts w:ascii="Arial" w:hAnsi="Arial" w:cs="Arial"/>
          <w:sz w:val="22"/>
          <w:szCs w:val="22"/>
        </w:rPr>
        <w:t>TOTAL COST for all panels combined = ____________________________</w:t>
      </w:r>
    </w:p>
    <w:p w14:paraId="3DAA57E6" w14:textId="74C04715" w:rsidR="003E5AF6" w:rsidRPr="007474AB" w:rsidRDefault="009A253A" w:rsidP="00C95CC7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7474AB">
        <w:rPr>
          <w:rFonts w:ascii="Arial" w:hAnsi="Arial" w:cs="Arial"/>
          <w:b/>
          <w:bCs/>
          <w:sz w:val="22"/>
          <w:szCs w:val="22"/>
        </w:rPr>
        <w:t>Note</w:t>
      </w:r>
      <w:r w:rsidRPr="007474AB">
        <w:rPr>
          <w:rFonts w:ascii="Arial" w:hAnsi="Arial" w:cs="Arial"/>
          <w:sz w:val="22"/>
          <w:szCs w:val="22"/>
        </w:rPr>
        <w:t xml:space="preserve">: The Immunology Institute will provide the detailed analysis and final report to </w:t>
      </w:r>
      <w:r w:rsidRPr="007474AB">
        <w:rPr>
          <w:rFonts w:ascii="Arial" w:hAnsi="Arial" w:cs="Arial"/>
          <w:sz w:val="22"/>
          <w:szCs w:val="22"/>
          <w:u w:val="single"/>
        </w:rPr>
        <w:t>all voucher awardees</w:t>
      </w:r>
      <w:r w:rsidRPr="007474AB">
        <w:rPr>
          <w:rFonts w:ascii="Arial" w:hAnsi="Arial" w:cs="Arial"/>
          <w:sz w:val="22"/>
          <w:szCs w:val="22"/>
        </w:rPr>
        <w:t xml:space="preserve"> at no additional cost. Our Analysis &amp; Final Report service provides standardized, high-quality processing of immunophenotyping data, converting raw flow cytometry files into organized, clearly presented results. This optional service, offered separately from sample processing and data acquisition, focuses on consistent, template-based manual gating and structured data output to support downstream analysis, visualization, and reporting by investigators.</w:t>
      </w:r>
    </w:p>
    <w:p w14:paraId="14BF2DB9" w14:textId="643B91AA" w:rsidR="003E5AF6" w:rsidRDefault="000D4AF5" w:rsidP="000D4AF5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0D4AF5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Pr="000D4AF5">
        <w:rPr>
          <w:rFonts w:ascii="Arial" w:hAnsi="Arial" w:cs="Arial"/>
          <w:sz w:val="22"/>
          <w:szCs w:val="22"/>
        </w:rPr>
        <w:t>Any expenses proposed greater than $8,000 shall be covered by the investigator</w:t>
      </w:r>
      <w:r>
        <w:rPr>
          <w:rFonts w:ascii="Arial" w:hAnsi="Arial" w:cs="Arial"/>
          <w:sz w:val="22"/>
          <w:szCs w:val="22"/>
        </w:rPr>
        <w:t>’s own resources</w:t>
      </w:r>
      <w:r w:rsidRPr="000D4AF5">
        <w:rPr>
          <w:rFonts w:ascii="Arial" w:hAnsi="Arial" w:cs="Arial"/>
          <w:sz w:val="22"/>
          <w:szCs w:val="22"/>
        </w:rPr>
        <w:t>.</w:t>
      </w:r>
    </w:p>
    <w:p w14:paraId="1DA0A58B" w14:textId="77777777" w:rsidR="000D4AF5" w:rsidRPr="000D4AF5" w:rsidRDefault="000D4AF5" w:rsidP="000D4AF5">
      <w:pPr>
        <w:spacing w:after="160" w:line="278" w:lineRule="auto"/>
        <w:rPr>
          <w:rFonts w:ascii="Arial" w:hAnsi="Arial" w:cs="Arial"/>
          <w:sz w:val="22"/>
          <w:szCs w:val="22"/>
        </w:rPr>
      </w:pPr>
    </w:p>
    <w:sectPr w:rsidR="000D4AF5" w:rsidRPr="000D4AF5" w:rsidSect="00F300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72B"/>
    <w:multiLevelType w:val="hybridMultilevel"/>
    <w:tmpl w:val="E60AD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3D171E"/>
    <w:multiLevelType w:val="hybridMultilevel"/>
    <w:tmpl w:val="DEA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6647"/>
    <w:multiLevelType w:val="hybridMultilevel"/>
    <w:tmpl w:val="5AF8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73C66"/>
    <w:multiLevelType w:val="hybridMultilevel"/>
    <w:tmpl w:val="E1CA92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37FA"/>
    <w:multiLevelType w:val="hybridMultilevel"/>
    <w:tmpl w:val="7BA2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408F9"/>
    <w:multiLevelType w:val="multilevel"/>
    <w:tmpl w:val="D14283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72F10"/>
    <w:multiLevelType w:val="hybridMultilevel"/>
    <w:tmpl w:val="9D1CB010"/>
    <w:lvl w:ilvl="0" w:tplc="C778D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002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288938">
    <w:abstractNumId w:val="1"/>
  </w:num>
  <w:num w:numId="3" w16cid:durableId="1288126967">
    <w:abstractNumId w:val="3"/>
  </w:num>
  <w:num w:numId="4" w16cid:durableId="1745683870">
    <w:abstractNumId w:val="5"/>
  </w:num>
  <w:num w:numId="5" w16cid:durableId="189802876">
    <w:abstractNumId w:val="2"/>
  </w:num>
  <w:num w:numId="6" w16cid:durableId="68505251">
    <w:abstractNumId w:val="0"/>
  </w:num>
  <w:num w:numId="7" w16cid:durableId="694814518">
    <w:abstractNumId w:val="6"/>
  </w:num>
  <w:num w:numId="8" w16cid:durableId="2053529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60"/>
    <w:rsid w:val="00044BC3"/>
    <w:rsid w:val="00076D95"/>
    <w:rsid w:val="000B5C6F"/>
    <w:rsid w:val="000D4AF5"/>
    <w:rsid w:val="00146695"/>
    <w:rsid w:val="00194EDF"/>
    <w:rsid w:val="001A1CCE"/>
    <w:rsid w:val="00252D88"/>
    <w:rsid w:val="002768F0"/>
    <w:rsid w:val="00285DCE"/>
    <w:rsid w:val="00294BA4"/>
    <w:rsid w:val="003015BC"/>
    <w:rsid w:val="00350D6D"/>
    <w:rsid w:val="00357F73"/>
    <w:rsid w:val="0037377F"/>
    <w:rsid w:val="003E5AF6"/>
    <w:rsid w:val="00456E3C"/>
    <w:rsid w:val="00510FC6"/>
    <w:rsid w:val="005D309E"/>
    <w:rsid w:val="006B0F63"/>
    <w:rsid w:val="00704A62"/>
    <w:rsid w:val="007474AB"/>
    <w:rsid w:val="00791499"/>
    <w:rsid w:val="00835963"/>
    <w:rsid w:val="008753B9"/>
    <w:rsid w:val="008B3782"/>
    <w:rsid w:val="008B6C60"/>
    <w:rsid w:val="00915336"/>
    <w:rsid w:val="00976D2B"/>
    <w:rsid w:val="009A1C82"/>
    <w:rsid w:val="009A253A"/>
    <w:rsid w:val="009B2F81"/>
    <w:rsid w:val="00A10AB1"/>
    <w:rsid w:val="00A723AC"/>
    <w:rsid w:val="00A92A8C"/>
    <w:rsid w:val="00B32A2F"/>
    <w:rsid w:val="00B7350E"/>
    <w:rsid w:val="00BC63CD"/>
    <w:rsid w:val="00C3030E"/>
    <w:rsid w:val="00C95CC7"/>
    <w:rsid w:val="00D31855"/>
    <w:rsid w:val="00DF1061"/>
    <w:rsid w:val="00E22E52"/>
    <w:rsid w:val="00EB5680"/>
    <w:rsid w:val="00F12185"/>
    <w:rsid w:val="00F30015"/>
    <w:rsid w:val="00FA4BAB"/>
    <w:rsid w:val="00F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3613F"/>
  <w15:chartTrackingRefBased/>
  <w15:docId w15:val="{C19BA354-2E59-9746-9386-3246F4F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C60"/>
    <w:pPr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6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768F0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8F0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8F0"/>
    <w:rPr>
      <w:rFonts w:eastAsiaTheme="minorHAnsi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3E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Yu-Ting</dc:creator>
  <cp:keywords/>
  <dc:description/>
  <cp:lastModifiedBy>Ballinger, Carol A</cp:lastModifiedBy>
  <cp:revision>3</cp:revision>
  <dcterms:created xsi:type="dcterms:W3CDTF">2026-01-07T21:08:00Z</dcterms:created>
  <dcterms:modified xsi:type="dcterms:W3CDTF">2026-01-07T21:33:00Z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2025-04-07T18:24:16Z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21dddde2-2bf0-464d-9dac-5e5fc1495e59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