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45"/>
        <w:gridCol w:w="3960"/>
        <w:gridCol w:w="4140"/>
        <w:gridCol w:w="3780"/>
      </w:tblGrid>
      <w:tr w:rsidR="00386633" w:rsidRPr="00B71EB1" w14:paraId="134D9D28" w14:textId="77777777" w:rsidTr="00386633">
        <w:tc>
          <w:tcPr>
            <w:tcW w:w="2245" w:type="dxa"/>
          </w:tcPr>
          <w:p w14:paraId="03508DDC" w14:textId="77777777" w:rsidR="00386633" w:rsidRPr="00B71EB1" w:rsidRDefault="00386633" w:rsidP="00B71EB1">
            <w:pPr>
              <w:jc w:val="center"/>
              <w:rPr>
                <w:b/>
                <w:sz w:val="28"/>
              </w:rPr>
            </w:pPr>
            <w:r w:rsidRPr="00B71EB1">
              <w:rPr>
                <w:b/>
                <w:sz w:val="28"/>
              </w:rPr>
              <w:t>Term</w:t>
            </w:r>
          </w:p>
        </w:tc>
        <w:tc>
          <w:tcPr>
            <w:tcW w:w="3960" w:type="dxa"/>
          </w:tcPr>
          <w:p w14:paraId="445EEB84" w14:textId="77777777" w:rsidR="00386633" w:rsidRPr="00B71EB1" w:rsidRDefault="00386633" w:rsidP="00B71EB1">
            <w:pPr>
              <w:jc w:val="center"/>
              <w:rPr>
                <w:b/>
                <w:sz w:val="28"/>
              </w:rPr>
            </w:pPr>
            <w:r w:rsidRPr="00B71EB1">
              <w:rPr>
                <w:b/>
                <w:sz w:val="28"/>
              </w:rPr>
              <w:t>Pre-2018 Common Rule Definition</w:t>
            </w:r>
          </w:p>
        </w:tc>
        <w:tc>
          <w:tcPr>
            <w:tcW w:w="4140" w:type="dxa"/>
          </w:tcPr>
          <w:p w14:paraId="087E0272" w14:textId="77777777" w:rsidR="00386633" w:rsidRPr="00B71EB1" w:rsidRDefault="00386633" w:rsidP="00B71EB1">
            <w:pPr>
              <w:jc w:val="center"/>
              <w:rPr>
                <w:b/>
                <w:sz w:val="28"/>
              </w:rPr>
            </w:pPr>
            <w:r w:rsidRPr="00B71EB1">
              <w:rPr>
                <w:b/>
                <w:sz w:val="28"/>
              </w:rPr>
              <w:t>2018 Revised Common Rule Definition</w:t>
            </w:r>
          </w:p>
        </w:tc>
        <w:tc>
          <w:tcPr>
            <w:tcW w:w="3780" w:type="dxa"/>
          </w:tcPr>
          <w:p w14:paraId="65309193" w14:textId="77777777" w:rsidR="00386633" w:rsidRPr="00B71EB1" w:rsidRDefault="00386633" w:rsidP="00B71EB1">
            <w:pPr>
              <w:jc w:val="center"/>
              <w:rPr>
                <w:b/>
                <w:sz w:val="28"/>
              </w:rPr>
            </w:pPr>
            <w:r w:rsidRPr="00B71EB1">
              <w:rPr>
                <w:b/>
                <w:sz w:val="28"/>
              </w:rPr>
              <w:t>Notes</w:t>
            </w:r>
          </w:p>
        </w:tc>
      </w:tr>
      <w:tr w:rsidR="00386633" w:rsidRPr="00386633" w14:paraId="421C55C4" w14:textId="77777777" w:rsidTr="00386633">
        <w:tc>
          <w:tcPr>
            <w:tcW w:w="2245" w:type="dxa"/>
          </w:tcPr>
          <w:p w14:paraId="2392B876" w14:textId="77777777" w:rsidR="00386633" w:rsidRPr="00B71EB1" w:rsidRDefault="00386633">
            <w:pPr>
              <w:rPr>
                <w:b/>
                <w:sz w:val="24"/>
              </w:rPr>
            </w:pPr>
            <w:r w:rsidRPr="00B71EB1">
              <w:rPr>
                <w:b/>
                <w:sz w:val="24"/>
              </w:rPr>
              <w:t>Research</w:t>
            </w:r>
          </w:p>
        </w:tc>
        <w:tc>
          <w:tcPr>
            <w:tcW w:w="3960" w:type="dxa"/>
          </w:tcPr>
          <w:p w14:paraId="4EBB51CB" w14:textId="77777777" w:rsidR="00386633" w:rsidRPr="00386633" w:rsidRDefault="00386633">
            <w:pPr>
              <w:rPr>
                <w:sz w:val="24"/>
              </w:rPr>
            </w:pPr>
            <w:r w:rsidRPr="00F320E5">
              <w:rPr>
                <w:i/>
                <w:sz w:val="24"/>
              </w:rPr>
              <w:t>Research</w:t>
            </w:r>
            <w:r w:rsidRPr="00386633">
              <w:rPr>
                <w:sz w:val="24"/>
              </w:rPr>
              <w:t xml:space="preserve"> means a systematic investigation, including research development, testing and evaluation, designed to develop or contribute to generalizable knowledge. Activities which meet this definition constitute research for purposes of this policy, whether or not they are conducted or supported under a program which is considered research for other purposes. For example, some demonstration and service programs may include research activities.</w:t>
            </w:r>
          </w:p>
        </w:tc>
        <w:tc>
          <w:tcPr>
            <w:tcW w:w="4140" w:type="dxa"/>
          </w:tcPr>
          <w:p w14:paraId="033DCB2A" w14:textId="77777777" w:rsidR="00386633" w:rsidRPr="00386633" w:rsidRDefault="00386633" w:rsidP="00386633">
            <w:pPr>
              <w:rPr>
                <w:sz w:val="24"/>
              </w:rPr>
            </w:pPr>
            <w:r w:rsidRPr="00F320E5">
              <w:rPr>
                <w:i/>
                <w:sz w:val="24"/>
              </w:rPr>
              <w:t>Research</w:t>
            </w:r>
            <w:r w:rsidRPr="00386633">
              <w:rPr>
                <w:sz w:val="24"/>
              </w:rPr>
              <w:t xml:space="preserve"> means a systematic investigation, including research development, testing, and evaluation, designed to develop or contribute to generalizable knowledge. Activities that meet this definition constitute research for purposes of this policy, whether or not they are conducted or supported under a program that is considered research for other purposes. For example, some demonstration and service programs may include research activities. For purposes of this part, the following activities are deemed not to be research:</w:t>
            </w:r>
          </w:p>
          <w:p w14:paraId="74A7CBBE" w14:textId="77777777" w:rsidR="00386633" w:rsidRPr="00386633" w:rsidRDefault="00386633" w:rsidP="00386633">
            <w:pPr>
              <w:rPr>
                <w:sz w:val="24"/>
              </w:rPr>
            </w:pPr>
          </w:p>
          <w:p w14:paraId="64402EC9" w14:textId="77777777" w:rsidR="00386633" w:rsidRPr="00386633" w:rsidRDefault="00386633" w:rsidP="00386633">
            <w:pPr>
              <w:rPr>
                <w:sz w:val="24"/>
              </w:rPr>
            </w:pPr>
            <w:r w:rsidRPr="00386633">
              <w:rPr>
                <w:sz w:val="24"/>
              </w:rPr>
              <w:t>(1) 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0D4FC20B" w14:textId="77777777" w:rsidR="00386633" w:rsidRPr="00386633" w:rsidRDefault="00386633" w:rsidP="00386633">
            <w:pPr>
              <w:rPr>
                <w:sz w:val="24"/>
              </w:rPr>
            </w:pPr>
          </w:p>
          <w:p w14:paraId="47D3DE7C" w14:textId="77777777" w:rsidR="00386633" w:rsidRPr="00386633" w:rsidRDefault="00386633" w:rsidP="00386633">
            <w:pPr>
              <w:rPr>
                <w:sz w:val="24"/>
              </w:rPr>
            </w:pPr>
            <w:r w:rsidRPr="00386633">
              <w:rPr>
                <w:sz w:val="24"/>
              </w:rPr>
              <w:t>(2) 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man-made disasters).</w:t>
            </w:r>
          </w:p>
          <w:p w14:paraId="260B279F" w14:textId="77777777" w:rsidR="00386633" w:rsidRPr="00386633" w:rsidRDefault="00386633" w:rsidP="00386633">
            <w:pPr>
              <w:rPr>
                <w:sz w:val="24"/>
              </w:rPr>
            </w:pPr>
          </w:p>
          <w:p w14:paraId="14FBB9CF" w14:textId="77777777" w:rsidR="00386633" w:rsidRPr="00386633" w:rsidRDefault="00386633" w:rsidP="00386633">
            <w:pPr>
              <w:rPr>
                <w:sz w:val="24"/>
              </w:rPr>
            </w:pPr>
            <w:r w:rsidRPr="00386633">
              <w:rPr>
                <w:sz w:val="24"/>
              </w:rPr>
              <w:t>(3) Collection and analysis of information, biospecimens, or records by or for a criminal justice agency for activities authorized by law or court order solely for criminal justice or criminal investigative purposes.</w:t>
            </w:r>
          </w:p>
          <w:p w14:paraId="1813F2C6" w14:textId="77777777" w:rsidR="00386633" w:rsidRPr="00386633" w:rsidRDefault="00386633" w:rsidP="00386633">
            <w:pPr>
              <w:rPr>
                <w:sz w:val="24"/>
              </w:rPr>
            </w:pPr>
          </w:p>
          <w:p w14:paraId="50554EBA" w14:textId="77777777" w:rsidR="00386633" w:rsidRPr="00386633" w:rsidRDefault="00386633" w:rsidP="00386633">
            <w:pPr>
              <w:rPr>
                <w:sz w:val="24"/>
              </w:rPr>
            </w:pPr>
            <w:r w:rsidRPr="00386633">
              <w:rPr>
                <w:sz w:val="24"/>
              </w:rPr>
              <w:t>(4) Authorized operational activities (as determined by each agency) in support of intelligence, homeland security, defense, or other national security missions.</w:t>
            </w:r>
          </w:p>
        </w:tc>
        <w:tc>
          <w:tcPr>
            <w:tcW w:w="3780" w:type="dxa"/>
          </w:tcPr>
          <w:p w14:paraId="73BA0345" w14:textId="77777777" w:rsidR="00386633" w:rsidRPr="00386633" w:rsidRDefault="00386633">
            <w:pPr>
              <w:rPr>
                <w:sz w:val="24"/>
              </w:rPr>
            </w:pPr>
            <w:r>
              <w:rPr>
                <w:sz w:val="24"/>
              </w:rPr>
              <w:t xml:space="preserve">The 2018 Revised common rule largely maintains the definition of research, but adds four categories to clarify activities that are </w:t>
            </w:r>
            <w:r>
              <w:rPr>
                <w:i/>
                <w:sz w:val="24"/>
              </w:rPr>
              <w:t>not</w:t>
            </w:r>
            <w:r>
              <w:rPr>
                <w:sz w:val="24"/>
              </w:rPr>
              <w:t xml:space="preserve"> research.</w:t>
            </w:r>
          </w:p>
        </w:tc>
      </w:tr>
      <w:tr w:rsidR="00386633" w:rsidRPr="00386633" w14:paraId="4B0E6819" w14:textId="77777777" w:rsidTr="00386633">
        <w:tc>
          <w:tcPr>
            <w:tcW w:w="2245" w:type="dxa"/>
          </w:tcPr>
          <w:p w14:paraId="54132907" w14:textId="77777777" w:rsidR="00386633" w:rsidRPr="00B71EB1" w:rsidRDefault="00386633">
            <w:pPr>
              <w:rPr>
                <w:b/>
                <w:sz w:val="24"/>
              </w:rPr>
            </w:pPr>
            <w:r w:rsidRPr="00B71EB1">
              <w:rPr>
                <w:b/>
                <w:sz w:val="24"/>
              </w:rPr>
              <w:t>Human Subject</w:t>
            </w:r>
          </w:p>
        </w:tc>
        <w:tc>
          <w:tcPr>
            <w:tcW w:w="3960" w:type="dxa"/>
          </w:tcPr>
          <w:p w14:paraId="7E19CFCD" w14:textId="77777777" w:rsidR="00386633" w:rsidRPr="00386633" w:rsidRDefault="00386633" w:rsidP="00386633">
            <w:pPr>
              <w:rPr>
                <w:sz w:val="24"/>
              </w:rPr>
            </w:pPr>
            <w:r w:rsidRPr="00F320E5">
              <w:rPr>
                <w:i/>
                <w:sz w:val="24"/>
              </w:rPr>
              <w:t>Human subject</w:t>
            </w:r>
            <w:r w:rsidRPr="00386633">
              <w:rPr>
                <w:sz w:val="24"/>
              </w:rPr>
              <w:t xml:space="preserve"> means a living individual about whom an investigator (whether professional or student) conducting research obtains</w:t>
            </w:r>
          </w:p>
          <w:p w14:paraId="3F45D8A5" w14:textId="77777777" w:rsidR="00386633" w:rsidRPr="00386633" w:rsidRDefault="00386633" w:rsidP="00386633">
            <w:pPr>
              <w:rPr>
                <w:sz w:val="24"/>
              </w:rPr>
            </w:pPr>
          </w:p>
          <w:p w14:paraId="7594FE71" w14:textId="77777777" w:rsidR="00386633" w:rsidRPr="00386633" w:rsidRDefault="00386633" w:rsidP="00386633">
            <w:pPr>
              <w:rPr>
                <w:sz w:val="24"/>
              </w:rPr>
            </w:pPr>
            <w:r w:rsidRPr="00386633">
              <w:rPr>
                <w:sz w:val="24"/>
              </w:rPr>
              <w:t>(1) Data through intervention or interaction with the individual, or</w:t>
            </w:r>
          </w:p>
          <w:p w14:paraId="6FF22058" w14:textId="77777777" w:rsidR="00386633" w:rsidRPr="00386633" w:rsidRDefault="00386633" w:rsidP="00386633">
            <w:pPr>
              <w:rPr>
                <w:sz w:val="24"/>
              </w:rPr>
            </w:pPr>
            <w:r w:rsidRPr="00386633">
              <w:rPr>
                <w:sz w:val="24"/>
              </w:rPr>
              <w:t>(2) Identifiable private information.</w:t>
            </w:r>
          </w:p>
        </w:tc>
        <w:tc>
          <w:tcPr>
            <w:tcW w:w="4140" w:type="dxa"/>
          </w:tcPr>
          <w:p w14:paraId="36CFD45E" w14:textId="77777777" w:rsidR="00386633" w:rsidRPr="00386633" w:rsidRDefault="00386633" w:rsidP="00386633">
            <w:pPr>
              <w:rPr>
                <w:sz w:val="24"/>
              </w:rPr>
            </w:pPr>
            <w:r w:rsidRPr="00F320E5">
              <w:rPr>
                <w:i/>
                <w:sz w:val="24"/>
              </w:rPr>
              <w:t>Human subject</w:t>
            </w:r>
            <w:r w:rsidRPr="00386633">
              <w:rPr>
                <w:sz w:val="24"/>
              </w:rPr>
              <w:t xml:space="preserve"> means a living individual about whom an investigator (whether professional or student) conducting research:</w:t>
            </w:r>
          </w:p>
          <w:p w14:paraId="5E12F27D" w14:textId="77777777" w:rsidR="00386633" w:rsidRPr="00386633" w:rsidRDefault="00386633" w:rsidP="00386633">
            <w:pPr>
              <w:rPr>
                <w:sz w:val="24"/>
              </w:rPr>
            </w:pPr>
          </w:p>
          <w:p w14:paraId="17ED852C" w14:textId="77777777" w:rsidR="00386633" w:rsidRPr="00386633" w:rsidRDefault="00386633" w:rsidP="00386633">
            <w:pPr>
              <w:rPr>
                <w:sz w:val="24"/>
              </w:rPr>
            </w:pPr>
            <w:r w:rsidRPr="00386633">
              <w:rPr>
                <w:sz w:val="24"/>
              </w:rPr>
              <w:t>(i) Obtains information or biospecimens through intervention or interaction with the individual, and uses, studies, or analyzes the information or biospecimens; or</w:t>
            </w:r>
          </w:p>
          <w:p w14:paraId="0E1AA1B5" w14:textId="77777777" w:rsidR="00386633" w:rsidRPr="00386633" w:rsidRDefault="00386633" w:rsidP="00386633">
            <w:pPr>
              <w:rPr>
                <w:sz w:val="24"/>
              </w:rPr>
            </w:pPr>
          </w:p>
          <w:p w14:paraId="2EBA637D" w14:textId="77777777" w:rsidR="00386633" w:rsidRPr="00386633" w:rsidRDefault="00386633" w:rsidP="00386633">
            <w:pPr>
              <w:rPr>
                <w:sz w:val="24"/>
              </w:rPr>
            </w:pPr>
            <w:r w:rsidRPr="00386633">
              <w:rPr>
                <w:sz w:val="24"/>
              </w:rPr>
              <w:t>(ii) Obtains, uses, studies, analyzes, or generates identifiable private information or identifiable biospecimens.</w:t>
            </w:r>
          </w:p>
        </w:tc>
        <w:tc>
          <w:tcPr>
            <w:tcW w:w="3780" w:type="dxa"/>
          </w:tcPr>
          <w:p w14:paraId="3F8777DE" w14:textId="77777777" w:rsidR="00386633" w:rsidRPr="00386633" w:rsidRDefault="00B71EB1">
            <w:pPr>
              <w:rPr>
                <w:sz w:val="24"/>
              </w:rPr>
            </w:pPr>
            <w:r>
              <w:rPr>
                <w:sz w:val="24"/>
              </w:rPr>
              <w:t>Clarifies the requirements of research activities that would define research involving human subjects.</w:t>
            </w:r>
          </w:p>
        </w:tc>
      </w:tr>
      <w:tr w:rsidR="00386633" w:rsidRPr="00386633" w14:paraId="1CAA08C8" w14:textId="77777777" w:rsidTr="00386633">
        <w:tc>
          <w:tcPr>
            <w:tcW w:w="2245" w:type="dxa"/>
          </w:tcPr>
          <w:p w14:paraId="02BC68DE" w14:textId="77777777" w:rsidR="00386633" w:rsidRPr="00B71EB1" w:rsidRDefault="00386633">
            <w:pPr>
              <w:rPr>
                <w:b/>
                <w:sz w:val="24"/>
              </w:rPr>
            </w:pPr>
            <w:r w:rsidRPr="00B71EB1">
              <w:rPr>
                <w:b/>
                <w:sz w:val="24"/>
              </w:rPr>
              <w:t>Clinical Trial</w:t>
            </w:r>
          </w:p>
        </w:tc>
        <w:tc>
          <w:tcPr>
            <w:tcW w:w="3960" w:type="dxa"/>
          </w:tcPr>
          <w:p w14:paraId="110FC1B3" w14:textId="77777777" w:rsidR="00386633" w:rsidRPr="00386633" w:rsidRDefault="00B71EB1">
            <w:pPr>
              <w:rPr>
                <w:sz w:val="24"/>
              </w:rPr>
            </w:pPr>
            <w:r w:rsidRPr="00F320E5">
              <w:rPr>
                <w:i/>
                <w:sz w:val="24"/>
              </w:rPr>
              <w:t>Clinical trial</w:t>
            </w:r>
            <w:r w:rsidRPr="00B71EB1">
              <w:rPr>
                <w:sz w:val="24"/>
              </w:rPr>
              <w:t xml:space="preserve"> means a research study in which one or more human subjects </w:t>
            </w:r>
            <w:r w:rsidRPr="00B71EB1">
              <w:rPr>
                <w:sz w:val="24"/>
              </w:rPr>
              <w:lastRenderedPageBreak/>
              <w:t>are prospectively assigned to one or more interventions (which may include placebo or other control) to evaluate the effects of the interventions on biomedical or behavioral health-related outcomes.</w:t>
            </w:r>
          </w:p>
        </w:tc>
        <w:tc>
          <w:tcPr>
            <w:tcW w:w="4140" w:type="dxa"/>
          </w:tcPr>
          <w:p w14:paraId="2486BA96" w14:textId="77777777" w:rsidR="00386633" w:rsidRPr="00386633" w:rsidRDefault="00386633">
            <w:pPr>
              <w:rPr>
                <w:sz w:val="24"/>
              </w:rPr>
            </w:pPr>
            <w:r w:rsidRPr="00F320E5">
              <w:rPr>
                <w:i/>
                <w:sz w:val="24"/>
              </w:rPr>
              <w:lastRenderedPageBreak/>
              <w:t xml:space="preserve">Clinical trial </w:t>
            </w:r>
            <w:r w:rsidRPr="00386633">
              <w:rPr>
                <w:sz w:val="24"/>
              </w:rPr>
              <w:t xml:space="preserve">means a research study in which one or more human subjects are </w:t>
            </w:r>
            <w:r w:rsidRPr="00386633">
              <w:rPr>
                <w:sz w:val="24"/>
              </w:rPr>
              <w:lastRenderedPageBreak/>
              <w:t>prospectively assigned to one or more interventions (which may include placebo or other control) to evaluate the effects of the interventions on biomedical or behavioral health-related outcomes.</w:t>
            </w:r>
          </w:p>
        </w:tc>
        <w:tc>
          <w:tcPr>
            <w:tcW w:w="3780" w:type="dxa"/>
          </w:tcPr>
          <w:p w14:paraId="5FB0CCB4" w14:textId="77777777" w:rsidR="00386633" w:rsidRPr="00386633" w:rsidRDefault="00B71EB1">
            <w:pPr>
              <w:rPr>
                <w:sz w:val="24"/>
              </w:rPr>
            </w:pPr>
            <w:r>
              <w:rPr>
                <w:sz w:val="24"/>
              </w:rPr>
              <w:lastRenderedPageBreak/>
              <w:t xml:space="preserve">This definition is nearly-identical to the NIH definition of a clinical </w:t>
            </w:r>
          </w:p>
        </w:tc>
      </w:tr>
      <w:tr w:rsidR="00B71EB1" w:rsidRPr="00386633" w14:paraId="6A62CC49" w14:textId="77777777" w:rsidTr="00386633">
        <w:tc>
          <w:tcPr>
            <w:tcW w:w="2245" w:type="dxa"/>
          </w:tcPr>
          <w:p w14:paraId="421FB001" w14:textId="77777777" w:rsidR="00B71EB1" w:rsidRPr="00B71EB1" w:rsidRDefault="00B71EB1">
            <w:pPr>
              <w:rPr>
                <w:b/>
                <w:sz w:val="24"/>
              </w:rPr>
            </w:pPr>
            <w:r w:rsidRPr="00B71EB1">
              <w:rPr>
                <w:b/>
                <w:sz w:val="24"/>
              </w:rPr>
              <w:t>Identifiable Private Information</w:t>
            </w:r>
          </w:p>
        </w:tc>
        <w:tc>
          <w:tcPr>
            <w:tcW w:w="3960" w:type="dxa"/>
          </w:tcPr>
          <w:p w14:paraId="54AFFDEA" w14:textId="77777777" w:rsidR="00B71EB1" w:rsidRDefault="002F37A9">
            <w:pPr>
              <w:rPr>
                <w:sz w:val="24"/>
              </w:rPr>
            </w:pPr>
            <w:r w:rsidRPr="002F37A9">
              <w:rPr>
                <w:i/>
                <w:sz w:val="24"/>
              </w:rPr>
              <w:t>Private Information</w:t>
            </w:r>
            <w:r>
              <w:rPr>
                <w:sz w:val="24"/>
              </w:rPr>
              <w:t xml:space="preserve"> includes information about behavior that occurs in a context in which an individual can reasonabl</w:t>
            </w:r>
            <w:r w:rsidR="00F320E5">
              <w:rPr>
                <w:sz w:val="24"/>
              </w:rPr>
              <w:t>y</w:t>
            </w:r>
            <w:r>
              <w:rPr>
                <w:sz w:val="24"/>
              </w:rPr>
              <w:t xml:space="preserve"> expect that no observation or recording is taking place, and information which has been provided for specific purposes by an individual and which the individual can reasonabl</w:t>
            </w:r>
            <w:r w:rsidR="00015839">
              <w:rPr>
                <w:sz w:val="24"/>
              </w:rPr>
              <w:t>y</w:t>
            </w:r>
            <w:bookmarkStart w:id="0" w:name="_GoBack"/>
            <w:bookmarkEnd w:id="0"/>
            <w:r>
              <w:rPr>
                <w:sz w:val="24"/>
              </w:rPr>
              <w:t xml:space="preserve"> expect will not be made public (for example, a medical recorded).</w:t>
            </w:r>
          </w:p>
          <w:p w14:paraId="7EACD4E4" w14:textId="77777777" w:rsidR="002F37A9" w:rsidRDefault="002F37A9">
            <w:pPr>
              <w:rPr>
                <w:sz w:val="24"/>
              </w:rPr>
            </w:pPr>
          </w:p>
          <w:p w14:paraId="47703BB1" w14:textId="77777777" w:rsidR="002F37A9" w:rsidRPr="00386633" w:rsidRDefault="002F37A9">
            <w:pPr>
              <w:rPr>
                <w:sz w:val="24"/>
              </w:rPr>
            </w:pPr>
            <w:r>
              <w:rPr>
                <w:sz w:val="24"/>
              </w:rPr>
              <w:t xml:space="preserve">Private information must be </w:t>
            </w:r>
            <w:r w:rsidRPr="002F37A9">
              <w:rPr>
                <w:i/>
                <w:sz w:val="24"/>
              </w:rPr>
              <w:t>individually identifiable</w:t>
            </w:r>
            <w:r>
              <w:rPr>
                <w:sz w:val="24"/>
              </w:rPr>
              <w:t xml:space="preserve"> (i.e., the identity of the subject is or may readily be ascertained by the investigator or associated with the information) in order for obtaining the information to constitute research involving human subjects.</w:t>
            </w:r>
          </w:p>
        </w:tc>
        <w:tc>
          <w:tcPr>
            <w:tcW w:w="4140" w:type="dxa"/>
          </w:tcPr>
          <w:p w14:paraId="37AEE1B9" w14:textId="77777777" w:rsidR="002F37A9" w:rsidRPr="00F320E5" w:rsidRDefault="002F37A9">
            <w:pPr>
              <w:rPr>
                <w:rFonts w:cstheme="minorHAnsi"/>
                <w:color w:val="000000"/>
                <w:sz w:val="24"/>
                <w:szCs w:val="24"/>
                <w:shd w:val="clear" w:color="auto" w:fill="FFFFFF"/>
              </w:rPr>
            </w:pPr>
            <w:r w:rsidRPr="00F320E5">
              <w:rPr>
                <w:rFonts w:cstheme="minorHAnsi"/>
                <w:i/>
                <w:iCs/>
                <w:color w:val="000000"/>
                <w:sz w:val="24"/>
                <w:szCs w:val="24"/>
                <w:shd w:val="clear" w:color="auto" w:fill="FFFFFF"/>
              </w:rPr>
              <w:t>Private information</w:t>
            </w:r>
            <w:r w:rsidR="00F320E5">
              <w:rPr>
                <w:rFonts w:cstheme="minorHAnsi"/>
                <w:color w:val="000000"/>
                <w:sz w:val="24"/>
                <w:szCs w:val="24"/>
                <w:shd w:val="clear" w:color="auto" w:fill="FFFFFF"/>
              </w:rPr>
              <w:t xml:space="preserve"> </w:t>
            </w:r>
            <w:r w:rsidRPr="00F320E5">
              <w:rPr>
                <w:rFonts w:cstheme="minorHAnsi"/>
                <w:color w:val="000000"/>
                <w:sz w:val="24"/>
                <w:szCs w:val="24"/>
                <w:shd w:val="clear" w:color="auto" w:fill="FFFFFF"/>
              </w:rPr>
              <w:t>includes information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w:t>
            </w:r>
            <w:r w:rsidRPr="00F320E5">
              <w:rPr>
                <w:rFonts w:cstheme="minorHAnsi"/>
                <w:i/>
                <w:iCs/>
                <w:color w:val="000000"/>
                <w:sz w:val="24"/>
                <w:szCs w:val="24"/>
                <w:shd w:val="clear" w:color="auto" w:fill="FFFFFF"/>
              </w:rPr>
              <w:t>e.g.,</w:t>
            </w:r>
            <w:r w:rsidR="00F320E5">
              <w:rPr>
                <w:rFonts w:cstheme="minorHAnsi"/>
                <w:i/>
                <w:iCs/>
                <w:color w:val="000000"/>
                <w:sz w:val="24"/>
                <w:szCs w:val="24"/>
                <w:shd w:val="clear" w:color="auto" w:fill="FFFFFF"/>
              </w:rPr>
              <w:t xml:space="preserve"> </w:t>
            </w:r>
            <w:r w:rsidRPr="00F320E5">
              <w:rPr>
                <w:rFonts w:cstheme="minorHAnsi"/>
                <w:color w:val="000000"/>
                <w:sz w:val="24"/>
                <w:szCs w:val="24"/>
                <w:shd w:val="clear" w:color="auto" w:fill="FFFFFF"/>
              </w:rPr>
              <w:t>a medical record).</w:t>
            </w:r>
          </w:p>
          <w:p w14:paraId="4B1649AD" w14:textId="77777777" w:rsidR="002F37A9" w:rsidRPr="00F320E5" w:rsidRDefault="002F37A9">
            <w:pPr>
              <w:rPr>
                <w:rFonts w:cstheme="minorHAnsi"/>
                <w:color w:val="000000"/>
                <w:sz w:val="24"/>
                <w:szCs w:val="24"/>
                <w:shd w:val="clear" w:color="auto" w:fill="FFFFFF"/>
              </w:rPr>
            </w:pPr>
          </w:p>
          <w:p w14:paraId="31155906" w14:textId="77777777" w:rsidR="00B71EB1" w:rsidRPr="00386633" w:rsidRDefault="00B71EB1">
            <w:pPr>
              <w:rPr>
                <w:sz w:val="24"/>
              </w:rPr>
            </w:pPr>
            <w:r w:rsidRPr="00F320E5">
              <w:rPr>
                <w:rFonts w:cstheme="minorHAnsi"/>
                <w:i/>
                <w:sz w:val="24"/>
              </w:rPr>
              <w:t>Identifiable private information</w:t>
            </w:r>
            <w:r w:rsidRPr="00F320E5">
              <w:rPr>
                <w:rFonts w:cstheme="minorHAnsi"/>
                <w:sz w:val="24"/>
              </w:rPr>
              <w:t xml:space="preserve"> is private information</w:t>
            </w:r>
            <w:r w:rsidRPr="00386633">
              <w:rPr>
                <w:sz w:val="24"/>
              </w:rPr>
              <w:t xml:space="preserve"> for which the identity of the subject is or may readily be ascertained by the investigator or associated with the information.</w:t>
            </w:r>
          </w:p>
        </w:tc>
        <w:tc>
          <w:tcPr>
            <w:tcW w:w="3780" w:type="dxa"/>
            <w:vMerge w:val="restart"/>
          </w:tcPr>
          <w:p w14:paraId="1B051998" w14:textId="77777777" w:rsidR="00B71EB1" w:rsidRDefault="00F320E5">
            <w:pPr>
              <w:rPr>
                <w:sz w:val="24"/>
              </w:rPr>
            </w:pPr>
            <w:r>
              <w:rPr>
                <w:sz w:val="24"/>
              </w:rPr>
              <w:t>The definitions of private information and identifiable private information have remained unchanged; however, t</w:t>
            </w:r>
            <w:r w:rsidR="00B71EB1">
              <w:rPr>
                <w:sz w:val="24"/>
              </w:rPr>
              <w:t xml:space="preserve">he 2018 Revised Common Rule </w:t>
            </w:r>
            <w:r>
              <w:rPr>
                <w:sz w:val="24"/>
              </w:rPr>
              <w:t xml:space="preserve">now includes the definition of an identifiable biospecimen.  The Revised Common Rule also </w:t>
            </w:r>
            <w:r w:rsidR="00B71EB1">
              <w:rPr>
                <w:sz w:val="24"/>
              </w:rPr>
              <w:t>requires that within one year of implementation, and then at least every four years after that, Common Rule agencies will:</w:t>
            </w:r>
          </w:p>
          <w:p w14:paraId="2DB38A9A" w14:textId="77777777" w:rsidR="00B71EB1" w:rsidRDefault="00B71EB1">
            <w:pPr>
              <w:rPr>
                <w:sz w:val="24"/>
              </w:rPr>
            </w:pPr>
          </w:p>
          <w:p w14:paraId="5BD8FA21" w14:textId="77777777" w:rsidR="00B71EB1" w:rsidRDefault="0024134E" w:rsidP="0024134E">
            <w:pPr>
              <w:pStyle w:val="ListParagraph"/>
              <w:numPr>
                <w:ilvl w:val="0"/>
                <w:numId w:val="1"/>
              </w:numPr>
              <w:rPr>
                <w:sz w:val="24"/>
              </w:rPr>
            </w:pPr>
            <w:r>
              <w:rPr>
                <w:sz w:val="24"/>
              </w:rPr>
              <w:t xml:space="preserve">reexamine the meaning of </w:t>
            </w:r>
            <w:r w:rsidR="00B71EB1" w:rsidRPr="00B71EB1">
              <w:rPr>
                <w:sz w:val="24"/>
              </w:rPr>
              <w:t>identifiable private information</w:t>
            </w:r>
            <w:r>
              <w:rPr>
                <w:sz w:val="24"/>
              </w:rPr>
              <w:t xml:space="preserve"> and </w:t>
            </w:r>
            <w:r w:rsidR="00B71EB1" w:rsidRPr="00B71EB1">
              <w:rPr>
                <w:sz w:val="24"/>
              </w:rPr>
              <w:t>identifiable biospecimen</w:t>
            </w:r>
            <w:r>
              <w:rPr>
                <w:sz w:val="24"/>
              </w:rPr>
              <w:t xml:space="preserve"> and </w:t>
            </w:r>
          </w:p>
          <w:p w14:paraId="2E00A911" w14:textId="77777777" w:rsidR="0024134E" w:rsidRPr="00B71EB1" w:rsidRDefault="0024134E" w:rsidP="0024134E">
            <w:pPr>
              <w:pStyle w:val="ListParagraph"/>
              <w:numPr>
                <w:ilvl w:val="0"/>
                <w:numId w:val="1"/>
              </w:numPr>
              <w:rPr>
                <w:sz w:val="24"/>
              </w:rPr>
            </w:pPr>
            <w:r w:rsidRPr="0024134E">
              <w:rPr>
                <w:sz w:val="24"/>
              </w:rPr>
              <w:t>assess whether there are analytic technologies or techniques that should be considered by investigators to generate id</w:t>
            </w:r>
            <w:r>
              <w:rPr>
                <w:sz w:val="24"/>
              </w:rPr>
              <w:t>entifiable private information</w:t>
            </w:r>
            <w:r w:rsidRPr="0024134E">
              <w:rPr>
                <w:sz w:val="24"/>
              </w:rPr>
              <w:t xml:space="preserve"> </w:t>
            </w:r>
            <w:r>
              <w:rPr>
                <w:sz w:val="24"/>
              </w:rPr>
              <w:t xml:space="preserve">or an </w:t>
            </w:r>
            <w:r w:rsidRPr="0024134E">
              <w:rPr>
                <w:sz w:val="24"/>
              </w:rPr>
              <w:t>identifiable biospecimen</w:t>
            </w:r>
          </w:p>
        </w:tc>
      </w:tr>
      <w:tr w:rsidR="00B71EB1" w:rsidRPr="00386633" w14:paraId="13F81CE7" w14:textId="77777777" w:rsidTr="00386633">
        <w:tc>
          <w:tcPr>
            <w:tcW w:w="2245" w:type="dxa"/>
          </w:tcPr>
          <w:p w14:paraId="6B4407ED" w14:textId="77777777" w:rsidR="00B71EB1" w:rsidRPr="00B71EB1" w:rsidRDefault="00B71EB1">
            <w:pPr>
              <w:rPr>
                <w:b/>
                <w:sz w:val="24"/>
              </w:rPr>
            </w:pPr>
            <w:r w:rsidRPr="00B71EB1">
              <w:rPr>
                <w:b/>
                <w:sz w:val="24"/>
              </w:rPr>
              <w:t>Identifiable Biospecimen</w:t>
            </w:r>
          </w:p>
        </w:tc>
        <w:tc>
          <w:tcPr>
            <w:tcW w:w="3960" w:type="dxa"/>
          </w:tcPr>
          <w:p w14:paraId="2BF0EF28" w14:textId="77777777" w:rsidR="00B71EB1" w:rsidRPr="00386633" w:rsidRDefault="00B71EB1">
            <w:pPr>
              <w:rPr>
                <w:sz w:val="24"/>
              </w:rPr>
            </w:pPr>
            <w:r>
              <w:rPr>
                <w:sz w:val="24"/>
              </w:rPr>
              <w:t>n/a</w:t>
            </w:r>
          </w:p>
        </w:tc>
        <w:tc>
          <w:tcPr>
            <w:tcW w:w="4140" w:type="dxa"/>
          </w:tcPr>
          <w:p w14:paraId="5513A646" w14:textId="77777777" w:rsidR="00B71EB1" w:rsidRPr="00386633" w:rsidRDefault="00B71EB1">
            <w:pPr>
              <w:rPr>
                <w:sz w:val="24"/>
              </w:rPr>
            </w:pPr>
            <w:r w:rsidRPr="00386633">
              <w:rPr>
                <w:sz w:val="24"/>
              </w:rPr>
              <w:t xml:space="preserve">An </w:t>
            </w:r>
            <w:r w:rsidRPr="00F320E5">
              <w:rPr>
                <w:i/>
                <w:sz w:val="24"/>
              </w:rPr>
              <w:t>identifiable biospecimen</w:t>
            </w:r>
            <w:r w:rsidRPr="00386633">
              <w:rPr>
                <w:sz w:val="24"/>
              </w:rPr>
              <w:t xml:space="preserve"> is a biospecimen for which the identity of the subject is or may readily be ascertained by the investigator or associated with the biospecimen.</w:t>
            </w:r>
          </w:p>
        </w:tc>
        <w:tc>
          <w:tcPr>
            <w:tcW w:w="3780" w:type="dxa"/>
            <w:vMerge/>
          </w:tcPr>
          <w:p w14:paraId="6DDEB5FA" w14:textId="77777777" w:rsidR="00B71EB1" w:rsidRPr="00386633" w:rsidRDefault="00B71EB1">
            <w:pPr>
              <w:rPr>
                <w:sz w:val="24"/>
              </w:rPr>
            </w:pPr>
          </w:p>
        </w:tc>
      </w:tr>
    </w:tbl>
    <w:p w14:paraId="30797EBE" w14:textId="77777777" w:rsidR="00C142FC" w:rsidRDefault="00C142FC"/>
    <w:sectPr w:rsidR="00C142FC" w:rsidSect="0038663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2EC"/>
    <w:multiLevelType w:val="hybridMultilevel"/>
    <w:tmpl w:val="F90E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633"/>
    <w:rsid w:val="00015839"/>
    <w:rsid w:val="0024134E"/>
    <w:rsid w:val="002F37A9"/>
    <w:rsid w:val="00386633"/>
    <w:rsid w:val="00B71EB1"/>
    <w:rsid w:val="00C142FC"/>
    <w:rsid w:val="00F3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3A3A"/>
  <w15:chartTrackingRefBased/>
  <w15:docId w15:val="{32D13445-3BEA-4230-85BF-134714D0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654331">
      <w:bodyDiv w:val="1"/>
      <w:marLeft w:val="0"/>
      <w:marRight w:val="0"/>
      <w:marTop w:val="0"/>
      <w:marBottom w:val="0"/>
      <w:divBdr>
        <w:top w:val="none" w:sz="0" w:space="0" w:color="auto"/>
        <w:left w:val="none" w:sz="0" w:space="0" w:color="auto"/>
        <w:bottom w:val="none" w:sz="0" w:space="0" w:color="auto"/>
        <w:right w:val="none" w:sz="0" w:space="0" w:color="auto"/>
      </w:divBdr>
    </w:div>
    <w:div w:id="17776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DocumentSubCat xmlns="b7565f3e-f365-40fb-821d-006a11e578ff">General</raDocumentSubCat>
    <raDocumentCategory xmlns="b7565f3e-f365-40fb-821d-006a11e578ff">
      <Value>Guidance Document</Value>
    </raDocumentCategory>
    <raAudience xmlns="b7565f3e-f365-40fb-821d-006a11e578ff">
      <Value>Members</Value>
      <Value>Participants</Value>
      <Value>Researchers</Value>
      <Value>Students</Value>
    </raAudience>
    <raDocumentDescription xmlns="b7565f3e-f365-40fb-821d-006a11e578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B3115-4E2A-43CB-8267-1C1705624C7A}"/>
</file>

<file path=customXml/itemProps2.xml><?xml version="1.0" encoding="utf-8"?>
<ds:datastoreItem xmlns:ds="http://schemas.openxmlformats.org/officeDocument/2006/customXml" ds:itemID="{B969CE4D-BDB9-4F9C-93EF-EA85FC0E2CD0}"/>
</file>

<file path=customXml/itemProps3.xml><?xml version="1.0" encoding="utf-8"?>
<ds:datastoreItem xmlns:ds="http://schemas.openxmlformats.org/officeDocument/2006/customXml" ds:itemID="{CCA18468-4F76-4AE0-B98B-E70A058E0CE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Michael</dc:creator>
  <cp:keywords/>
  <dc:description/>
  <cp:lastModifiedBy>Hill, Michael</cp:lastModifiedBy>
  <cp:revision>2</cp:revision>
  <dcterms:created xsi:type="dcterms:W3CDTF">2018-11-26T15:03:00Z</dcterms:created>
  <dcterms:modified xsi:type="dcterms:W3CDTF">2018-11-26T15:03:00Z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0x0101005CD7FF8448DD8241B359321E8F726E670094BBC07B3A579B429F6DF7D0CB6009A8</vt:lpwstr>
  </property>
</Properties>
</file>