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401"/>
        <w:gridCol w:w="3960"/>
        <w:gridCol w:w="4140"/>
        <w:gridCol w:w="3780"/>
      </w:tblGrid>
      <w:tr w:rsidR="00386633" w:rsidRPr="00B71EB1" w14:paraId="734616A2" w14:textId="77777777" w:rsidTr="00386633">
        <w:tc>
          <w:tcPr>
            <w:tcW w:w="2245" w:type="dxa"/>
          </w:tcPr>
          <w:p w14:paraId="026CED52" w14:textId="77777777" w:rsidR="00386633" w:rsidRPr="00B71EB1" w:rsidRDefault="00DD086F" w:rsidP="00B71EB1">
            <w:pPr>
              <w:jc w:val="center"/>
              <w:rPr>
                <w:b/>
                <w:sz w:val="28"/>
              </w:rPr>
            </w:pPr>
            <w:r>
              <w:rPr>
                <w:b/>
                <w:sz w:val="28"/>
              </w:rPr>
              <w:t>Category</w:t>
            </w:r>
          </w:p>
        </w:tc>
        <w:tc>
          <w:tcPr>
            <w:tcW w:w="3960" w:type="dxa"/>
          </w:tcPr>
          <w:p w14:paraId="27D90BB4" w14:textId="77777777" w:rsidR="00386633" w:rsidRPr="00B71EB1" w:rsidRDefault="00386633" w:rsidP="00B71EB1">
            <w:pPr>
              <w:jc w:val="center"/>
              <w:rPr>
                <w:b/>
                <w:sz w:val="28"/>
              </w:rPr>
            </w:pPr>
            <w:r w:rsidRPr="00B71EB1">
              <w:rPr>
                <w:b/>
                <w:sz w:val="28"/>
              </w:rPr>
              <w:t>Pre-2018 Common Rule Definition</w:t>
            </w:r>
          </w:p>
        </w:tc>
        <w:tc>
          <w:tcPr>
            <w:tcW w:w="4140" w:type="dxa"/>
          </w:tcPr>
          <w:p w14:paraId="4CA2B29D" w14:textId="77777777" w:rsidR="00386633" w:rsidRPr="00B71EB1" w:rsidRDefault="00386633" w:rsidP="00B71EB1">
            <w:pPr>
              <w:jc w:val="center"/>
              <w:rPr>
                <w:b/>
                <w:sz w:val="28"/>
              </w:rPr>
            </w:pPr>
            <w:r w:rsidRPr="00B71EB1">
              <w:rPr>
                <w:b/>
                <w:sz w:val="28"/>
              </w:rPr>
              <w:t>2018 Revised Common Rule Definition</w:t>
            </w:r>
          </w:p>
        </w:tc>
        <w:tc>
          <w:tcPr>
            <w:tcW w:w="3780" w:type="dxa"/>
          </w:tcPr>
          <w:p w14:paraId="18AB00B0" w14:textId="77777777" w:rsidR="00386633" w:rsidRPr="00B71EB1" w:rsidRDefault="00386633" w:rsidP="00B71EB1">
            <w:pPr>
              <w:jc w:val="center"/>
              <w:rPr>
                <w:b/>
                <w:sz w:val="28"/>
              </w:rPr>
            </w:pPr>
            <w:r w:rsidRPr="00B71EB1">
              <w:rPr>
                <w:b/>
                <w:sz w:val="28"/>
              </w:rPr>
              <w:t>Notes</w:t>
            </w:r>
          </w:p>
        </w:tc>
      </w:tr>
      <w:tr w:rsidR="00DD086F" w:rsidRPr="00386633" w14:paraId="1EA02B9C" w14:textId="77777777" w:rsidTr="00386633">
        <w:tc>
          <w:tcPr>
            <w:tcW w:w="2245" w:type="dxa"/>
          </w:tcPr>
          <w:p w14:paraId="62DF359E" w14:textId="77777777" w:rsidR="00DD086F" w:rsidRPr="00DD086F" w:rsidRDefault="00DD086F" w:rsidP="00DD086F">
            <w:pPr>
              <w:pStyle w:val="Heading2"/>
              <w:shd w:val="clear" w:color="auto" w:fill="FFFFFF"/>
              <w:spacing w:before="200"/>
              <w:outlineLvl w:val="1"/>
              <w:rPr>
                <w:rFonts w:asciiTheme="minorHAnsi" w:hAnsiTheme="minorHAnsi" w:cstheme="minorHAnsi"/>
                <w:b/>
                <w:color w:val="000000" w:themeColor="text1"/>
                <w:sz w:val="24"/>
                <w:szCs w:val="24"/>
              </w:rPr>
            </w:pPr>
            <w:r w:rsidRPr="00DD086F">
              <w:rPr>
                <w:rFonts w:asciiTheme="minorHAnsi" w:hAnsiTheme="minorHAnsi" w:cstheme="minorHAnsi"/>
                <w:b/>
                <w:color w:val="000000" w:themeColor="text1"/>
                <w:sz w:val="24"/>
                <w:szCs w:val="24"/>
              </w:rPr>
              <w:t>Regulatory Citation</w:t>
            </w:r>
          </w:p>
          <w:p w14:paraId="2818D67A" w14:textId="77777777" w:rsidR="00DD086F" w:rsidRPr="00B71EB1" w:rsidRDefault="00DD086F">
            <w:pPr>
              <w:rPr>
                <w:b/>
                <w:sz w:val="24"/>
              </w:rPr>
            </w:pPr>
          </w:p>
        </w:tc>
        <w:tc>
          <w:tcPr>
            <w:tcW w:w="3960" w:type="dxa"/>
          </w:tcPr>
          <w:p w14:paraId="5BE8C542" w14:textId="77777777" w:rsidR="00DD086F" w:rsidRPr="00F320E5" w:rsidRDefault="00DD086F" w:rsidP="00DD086F">
            <w:pPr>
              <w:rPr>
                <w:i/>
                <w:sz w:val="24"/>
              </w:rPr>
            </w:pPr>
            <w:r w:rsidRPr="00DD086F">
              <w:rPr>
                <w:rFonts w:cstheme="minorHAnsi"/>
                <w:color w:val="000000" w:themeColor="text1"/>
                <w:sz w:val="24"/>
                <w:szCs w:val="24"/>
              </w:rPr>
              <w:t xml:space="preserve">Exemption descriptions </w:t>
            </w:r>
            <w:r>
              <w:rPr>
                <w:rFonts w:cstheme="minorHAnsi"/>
                <w:color w:val="000000" w:themeColor="text1"/>
                <w:sz w:val="24"/>
                <w:szCs w:val="24"/>
              </w:rPr>
              <w:t>l</w:t>
            </w:r>
            <w:r w:rsidRPr="00DD086F">
              <w:rPr>
                <w:rFonts w:cstheme="minorHAnsi"/>
                <w:color w:val="000000" w:themeColor="text1"/>
                <w:sz w:val="24"/>
                <w:szCs w:val="24"/>
              </w:rPr>
              <w:t xml:space="preserve">ocated in </w:t>
            </w:r>
            <w:r w:rsidRPr="00DD086F">
              <w:rPr>
                <w:rFonts w:eastAsia="Times New Roman" w:cstheme="minorHAnsi"/>
                <w:bCs/>
                <w:color w:val="000000" w:themeColor="text1"/>
                <w:sz w:val="24"/>
                <w:szCs w:val="24"/>
              </w:rPr>
              <w:t>§46.101(b)(1–6)</w:t>
            </w:r>
          </w:p>
        </w:tc>
        <w:tc>
          <w:tcPr>
            <w:tcW w:w="4140" w:type="dxa"/>
          </w:tcPr>
          <w:p w14:paraId="0BE464FF" w14:textId="77777777" w:rsidR="00DD086F" w:rsidRPr="00544BA2" w:rsidRDefault="00DD086F" w:rsidP="00544BA2">
            <w:pPr>
              <w:spacing w:before="100" w:beforeAutospacing="1"/>
              <w:rPr>
                <w:rFonts w:cstheme="minorHAnsi"/>
                <w:i/>
                <w:sz w:val="24"/>
                <w:szCs w:val="24"/>
              </w:rPr>
            </w:pPr>
            <w:r w:rsidRPr="00544BA2">
              <w:rPr>
                <w:rFonts w:cstheme="minorHAnsi"/>
                <w:color w:val="000000" w:themeColor="text1"/>
                <w:sz w:val="24"/>
                <w:szCs w:val="24"/>
              </w:rPr>
              <w:t xml:space="preserve">Exemption descriptions located in </w:t>
            </w:r>
            <w:r w:rsidRPr="00544BA2">
              <w:rPr>
                <w:rFonts w:eastAsia="Times New Roman" w:cstheme="minorHAnsi"/>
                <w:bCs/>
                <w:color w:val="000000" w:themeColor="text1"/>
                <w:sz w:val="24"/>
                <w:szCs w:val="24"/>
              </w:rPr>
              <w:t>§46.104(d)(1–8)</w:t>
            </w:r>
          </w:p>
        </w:tc>
        <w:tc>
          <w:tcPr>
            <w:tcW w:w="3780" w:type="dxa"/>
          </w:tcPr>
          <w:p w14:paraId="54035351" w14:textId="77777777" w:rsidR="00DD086F" w:rsidRDefault="00DD086F">
            <w:pPr>
              <w:rPr>
                <w:sz w:val="24"/>
              </w:rPr>
            </w:pPr>
            <w:r>
              <w:rPr>
                <w:sz w:val="24"/>
              </w:rPr>
              <w:t>Exempt research now has its own section in the Federal Register</w:t>
            </w:r>
          </w:p>
        </w:tc>
      </w:tr>
      <w:tr w:rsidR="00386633" w:rsidRPr="00386633" w14:paraId="16C4400F" w14:textId="77777777" w:rsidTr="00386633">
        <w:tc>
          <w:tcPr>
            <w:tcW w:w="2245" w:type="dxa"/>
          </w:tcPr>
          <w:p w14:paraId="01B5C9B5" w14:textId="77777777" w:rsidR="00386633" w:rsidRDefault="00E625C9">
            <w:pPr>
              <w:rPr>
                <w:b/>
                <w:sz w:val="24"/>
              </w:rPr>
            </w:pPr>
            <w:r>
              <w:rPr>
                <w:b/>
                <w:sz w:val="24"/>
              </w:rPr>
              <w:t>Category 1</w:t>
            </w:r>
          </w:p>
          <w:p w14:paraId="3607C38D" w14:textId="77777777" w:rsidR="00E625C9" w:rsidRDefault="00E625C9">
            <w:pPr>
              <w:rPr>
                <w:b/>
                <w:sz w:val="24"/>
              </w:rPr>
            </w:pPr>
            <w:r>
              <w:rPr>
                <w:b/>
                <w:sz w:val="24"/>
              </w:rPr>
              <w:t>Educational Research</w:t>
            </w:r>
          </w:p>
          <w:p w14:paraId="62E5C4CD" w14:textId="77777777" w:rsidR="00E625C9" w:rsidRPr="00B71EB1" w:rsidRDefault="00E625C9">
            <w:pPr>
              <w:rPr>
                <w:b/>
                <w:sz w:val="24"/>
              </w:rPr>
            </w:pPr>
          </w:p>
        </w:tc>
        <w:tc>
          <w:tcPr>
            <w:tcW w:w="3960" w:type="dxa"/>
          </w:tcPr>
          <w:p w14:paraId="23BBCF61" w14:textId="77777777" w:rsidR="00E625C9" w:rsidRDefault="00E625C9">
            <w:pPr>
              <w:rPr>
                <w:rFonts w:cstheme="minorHAnsi"/>
                <w:color w:val="000000"/>
                <w:sz w:val="24"/>
                <w:szCs w:val="24"/>
                <w:shd w:val="clear" w:color="auto" w:fill="FFFFFF"/>
              </w:rPr>
            </w:pPr>
            <w:r w:rsidRPr="00E625C9">
              <w:rPr>
                <w:rFonts w:cstheme="minorHAnsi"/>
                <w:color w:val="000000"/>
                <w:sz w:val="24"/>
                <w:szCs w:val="24"/>
                <w:shd w:val="clear" w:color="auto" w:fill="FFFFFF"/>
              </w:rPr>
              <w:t xml:space="preserve">(1) Research conducted in established or commonly accepted educational settings, involving normal educational practices, such as </w:t>
            </w:r>
          </w:p>
          <w:p w14:paraId="770F8D15" w14:textId="77777777" w:rsidR="00E625C9" w:rsidRDefault="00E625C9">
            <w:pPr>
              <w:rPr>
                <w:rFonts w:cstheme="minorHAnsi"/>
                <w:color w:val="000000"/>
                <w:sz w:val="24"/>
                <w:szCs w:val="24"/>
                <w:shd w:val="clear" w:color="auto" w:fill="FFFFFF"/>
              </w:rPr>
            </w:pPr>
          </w:p>
          <w:p w14:paraId="2AA45E75" w14:textId="77777777" w:rsidR="00E625C9" w:rsidRDefault="00E625C9" w:rsidP="00E625C9">
            <w:pPr>
              <w:pStyle w:val="ListParagraph"/>
              <w:numPr>
                <w:ilvl w:val="0"/>
                <w:numId w:val="3"/>
              </w:numPr>
              <w:ind w:left="360" w:hanging="360"/>
              <w:rPr>
                <w:rFonts w:cstheme="minorHAnsi"/>
                <w:color w:val="000000"/>
                <w:sz w:val="24"/>
                <w:szCs w:val="24"/>
                <w:shd w:val="clear" w:color="auto" w:fill="FFFFFF"/>
              </w:rPr>
            </w:pPr>
            <w:r w:rsidRPr="00E625C9">
              <w:rPr>
                <w:rFonts w:cstheme="minorHAnsi"/>
                <w:color w:val="000000"/>
                <w:sz w:val="24"/>
                <w:szCs w:val="24"/>
                <w:shd w:val="clear" w:color="auto" w:fill="FFFFFF"/>
              </w:rPr>
              <w:t xml:space="preserve">research on regular and special education instructional strategies, or </w:t>
            </w:r>
          </w:p>
          <w:p w14:paraId="7EC883D8" w14:textId="77777777" w:rsidR="00E625C9" w:rsidRPr="00E625C9" w:rsidRDefault="00E625C9" w:rsidP="00E625C9">
            <w:pPr>
              <w:pStyle w:val="ListParagraph"/>
              <w:ind w:left="360"/>
              <w:rPr>
                <w:rFonts w:cstheme="minorHAnsi"/>
                <w:color w:val="000000"/>
                <w:sz w:val="24"/>
                <w:szCs w:val="24"/>
                <w:shd w:val="clear" w:color="auto" w:fill="FFFFFF"/>
              </w:rPr>
            </w:pPr>
          </w:p>
          <w:p w14:paraId="6D76F166" w14:textId="77777777" w:rsidR="00386633" w:rsidRPr="00E625C9" w:rsidRDefault="00E625C9" w:rsidP="00E625C9">
            <w:pPr>
              <w:pStyle w:val="ListParagraph"/>
              <w:numPr>
                <w:ilvl w:val="0"/>
                <w:numId w:val="3"/>
              </w:numPr>
              <w:ind w:left="360" w:hanging="360"/>
              <w:rPr>
                <w:rFonts w:cstheme="minorHAnsi"/>
                <w:sz w:val="24"/>
                <w:szCs w:val="24"/>
              </w:rPr>
            </w:pPr>
            <w:proofErr w:type="gramStart"/>
            <w:r w:rsidRPr="00E625C9">
              <w:rPr>
                <w:rFonts w:cstheme="minorHAnsi"/>
                <w:color w:val="000000"/>
                <w:sz w:val="24"/>
                <w:szCs w:val="24"/>
                <w:shd w:val="clear" w:color="auto" w:fill="FFFFFF"/>
              </w:rPr>
              <w:t>research</w:t>
            </w:r>
            <w:proofErr w:type="gramEnd"/>
            <w:r w:rsidRPr="00E625C9">
              <w:rPr>
                <w:rFonts w:cstheme="minorHAnsi"/>
                <w:color w:val="000000"/>
                <w:sz w:val="24"/>
                <w:szCs w:val="24"/>
                <w:shd w:val="clear" w:color="auto" w:fill="FFFFFF"/>
              </w:rPr>
              <w:t xml:space="preserve"> on the effectiveness of or the comparison among instructional techniques, curricula, or classroom management methods.</w:t>
            </w:r>
          </w:p>
        </w:tc>
        <w:tc>
          <w:tcPr>
            <w:tcW w:w="4140" w:type="dxa"/>
          </w:tcPr>
          <w:p w14:paraId="0717C0AE" w14:textId="77777777" w:rsidR="00386633" w:rsidRPr="00544BA2" w:rsidRDefault="00097BD5" w:rsidP="00544BA2">
            <w:pPr>
              <w:spacing w:before="100" w:beforeAutospacing="1"/>
              <w:rPr>
                <w:rFonts w:cstheme="minorHAnsi"/>
                <w:sz w:val="24"/>
                <w:szCs w:val="24"/>
              </w:rPr>
            </w:pPr>
            <w:r w:rsidRPr="00544BA2">
              <w:rPr>
                <w:rFonts w:cstheme="minorHAnsi"/>
                <w:color w:val="000000"/>
                <w:sz w:val="24"/>
                <w:szCs w:val="24"/>
                <w:shd w:val="clear" w:color="auto" w:fill="FFFFFF"/>
              </w:rPr>
              <w:t xml:space="preserve">(1) Research, conducted in established or commonly accepted educational </w:t>
            </w:r>
            <w:proofErr w:type="gramStart"/>
            <w:r w:rsidRPr="00544BA2">
              <w:rPr>
                <w:rFonts w:cstheme="minorHAnsi"/>
                <w:color w:val="000000"/>
                <w:sz w:val="24"/>
                <w:szCs w:val="24"/>
                <w:shd w:val="clear" w:color="auto" w:fill="FFFFFF"/>
              </w:rPr>
              <w:t xml:space="preserve">settings, </w:t>
            </w:r>
            <w:r w:rsidRPr="00E625C9">
              <w:rPr>
                <w:rFonts w:cstheme="minorHAnsi"/>
                <w:i/>
                <w:color w:val="C00000"/>
                <w:sz w:val="24"/>
                <w:szCs w:val="24"/>
                <w:shd w:val="clear" w:color="auto" w:fill="FFFFFF"/>
              </w:rPr>
              <w:t>that</w:t>
            </w:r>
            <w:proofErr w:type="gramEnd"/>
            <w:r w:rsidRPr="00E625C9">
              <w:rPr>
                <w:rFonts w:cstheme="minorHAnsi"/>
                <w:i/>
                <w:color w:val="C00000"/>
                <w:sz w:val="24"/>
                <w:szCs w:val="24"/>
                <w:shd w:val="clear" w:color="auto" w:fill="FFFFFF"/>
              </w:rPr>
              <w:t xml:space="preserve"> specifically </w:t>
            </w:r>
            <w:r w:rsidRPr="00544BA2">
              <w:rPr>
                <w:rFonts w:cstheme="minorHAnsi"/>
                <w:color w:val="000000"/>
                <w:sz w:val="24"/>
                <w:szCs w:val="24"/>
                <w:shd w:val="clear" w:color="auto" w:fill="FFFFFF"/>
              </w:rPr>
              <w:t xml:space="preserve">involves normal educational practices that are </w:t>
            </w:r>
            <w:r w:rsidRPr="00544BA2">
              <w:rPr>
                <w:rFonts w:cstheme="minorHAnsi"/>
                <w:i/>
                <w:color w:val="C00000"/>
                <w:sz w:val="24"/>
                <w:szCs w:val="24"/>
                <w:shd w:val="clear" w:color="auto" w:fill="FFFFFF"/>
              </w:rPr>
              <w:t>not likely to adversely impact students' opportunity to learn required educational content or the assessment of educators who provide instruction.</w:t>
            </w:r>
            <w:r w:rsidRPr="00544BA2">
              <w:rPr>
                <w:rFonts w:cstheme="minorHAnsi"/>
                <w:color w:val="000000"/>
                <w:sz w:val="24"/>
                <w:szCs w:val="24"/>
                <w:shd w:val="clear" w:color="auto" w:fill="FFFFFF"/>
              </w:rPr>
              <w:t xml:space="preserve"> This includes most research on regular and special education instructional strategies, and research on the effectiveness of or the comparison among instructional techniques, curricula, or classroom management methods.</w:t>
            </w:r>
          </w:p>
        </w:tc>
        <w:tc>
          <w:tcPr>
            <w:tcW w:w="3780" w:type="dxa"/>
          </w:tcPr>
          <w:p w14:paraId="354798F8" w14:textId="77777777" w:rsidR="00386633" w:rsidRPr="00386633" w:rsidRDefault="00386633" w:rsidP="002F356D">
            <w:pPr>
              <w:rPr>
                <w:sz w:val="24"/>
              </w:rPr>
            </w:pPr>
            <w:r>
              <w:rPr>
                <w:sz w:val="24"/>
              </w:rPr>
              <w:t>The 2018 Revised common rule largely maintains the</w:t>
            </w:r>
            <w:r w:rsidR="00544BA2">
              <w:rPr>
                <w:sz w:val="24"/>
              </w:rPr>
              <w:t xml:space="preserve"> previous information but adds a caveat that the procedures cannot negatively affect student learning or the assessment of teachers.  </w:t>
            </w:r>
          </w:p>
        </w:tc>
      </w:tr>
      <w:tr w:rsidR="00386633" w:rsidRPr="00386633" w14:paraId="5C56D94C" w14:textId="77777777" w:rsidTr="00386633">
        <w:tc>
          <w:tcPr>
            <w:tcW w:w="2245" w:type="dxa"/>
          </w:tcPr>
          <w:p w14:paraId="01DA2A63" w14:textId="77777777" w:rsidR="00386633" w:rsidRDefault="00E625C9">
            <w:pPr>
              <w:rPr>
                <w:b/>
                <w:sz w:val="24"/>
              </w:rPr>
            </w:pPr>
            <w:r>
              <w:rPr>
                <w:b/>
                <w:sz w:val="24"/>
              </w:rPr>
              <w:t>Category 2</w:t>
            </w:r>
          </w:p>
          <w:p w14:paraId="2998CE84" w14:textId="77777777" w:rsidR="00E625C9" w:rsidRPr="00B71EB1" w:rsidRDefault="00E625C9" w:rsidP="00E625C9">
            <w:pPr>
              <w:rPr>
                <w:b/>
                <w:sz w:val="24"/>
              </w:rPr>
            </w:pPr>
            <w:r>
              <w:rPr>
                <w:b/>
                <w:sz w:val="24"/>
              </w:rPr>
              <w:t>Surveys/Educational Tests, Interviews or Observations of Public Behavior</w:t>
            </w:r>
          </w:p>
        </w:tc>
        <w:tc>
          <w:tcPr>
            <w:tcW w:w="3960" w:type="dxa"/>
          </w:tcPr>
          <w:p w14:paraId="66375A6C" w14:textId="77777777" w:rsidR="00E625C9" w:rsidRDefault="00E625C9" w:rsidP="00386633">
            <w:pPr>
              <w:rPr>
                <w:rFonts w:cstheme="minorHAnsi"/>
                <w:color w:val="000000"/>
                <w:sz w:val="24"/>
                <w:szCs w:val="24"/>
                <w:shd w:val="clear" w:color="auto" w:fill="FFFFFF"/>
              </w:rPr>
            </w:pPr>
            <w:r w:rsidRPr="00E625C9">
              <w:rPr>
                <w:rFonts w:cstheme="minorHAnsi"/>
                <w:color w:val="000000"/>
                <w:sz w:val="24"/>
                <w:szCs w:val="24"/>
                <w:shd w:val="clear" w:color="auto" w:fill="FFFFFF"/>
              </w:rPr>
              <w:t>(2) Research involving the use of educational tests (cognitive, diagnostic, aptitude, achievement), survey procedures, interview procedures or observation of public behavior, unless:</w:t>
            </w:r>
          </w:p>
          <w:p w14:paraId="7494C21D" w14:textId="77777777" w:rsidR="00E625C9" w:rsidRDefault="00E625C9" w:rsidP="00E625C9">
            <w:pPr>
              <w:ind w:left="360" w:hanging="360"/>
              <w:rPr>
                <w:rFonts w:cstheme="minorHAnsi"/>
                <w:color w:val="000000"/>
                <w:sz w:val="24"/>
                <w:szCs w:val="24"/>
                <w:shd w:val="clear" w:color="auto" w:fill="FFFFFF"/>
              </w:rPr>
            </w:pPr>
          </w:p>
          <w:p w14:paraId="09E7CD6C" w14:textId="77777777" w:rsidR="00E625C9" w:rsidRDefault="00E625C9" w:rsidP="00E625C9">
            <w:pPr>
              <w:ind w:left="360" w:hanging="360"/>
              <w:rPr>
                <w:rFonts w:cstheme="minorHAnsi"/>
                <w:color w:val="000000"/>
                <w:sz w:val="24"/>
                <w:szCs w:val="24"/>
                <w:shd w:val="clear" w:color="auto" w:fill="FFFFFF"/>
              </w:rPr>
            </w:pPr>
          </w:p>
          <w:p w14:paraId="1CC05784" w14:textId="77777777" w:rsidR="00E625C9" w:rsidRDefault="00E625C9" w:rsidP="00E625C9">
            <w:pPr>
              <w:ind w:left="360" w:hanging="360"/>
              <w:rPr>
                <w:rFonts w:cstheme="minorHAnsi"/>
                <w:color w:val="000000"/>
                <w:sz w:val="24"/>
                <w:szCs w:val="24"/>
                <w:shd w:val="clear" w:color="auto" w:fill="FFFFFF"/>
              </w:rPr>
            </w:pPr>
          </w:p>
          <w:p w14:paraId="19EA2E09" w14:textId="77777777" w:rsidR="00E625C9" w:rsidRDefault="00E625C9" w:rsidP="00E625C9">
            <w:pPr>
              <w:ind w:left="360" w:hanging="360"/>
              <w:rPr>
                <w:rFonts w:cstheme="minorHAnsi"/>
                <w:color w:val="000000"/>
                <w:sz w:val="24"/>
                <w:szCs w:val="24"/>
                <w:shd w:val="clear" w:color="auto" w:fill="FFFFFF"/>
              </w:rPr>
            </w:pPr>
            <w:r w:rsidRPr="00E625C9">
              <w:rPr>
                <w:rFonts w:cstheme="minorHAnsi"/>
                <w:color w:val="000000"/>
                <w:sz w:val="24"/>
                <w:szCs w:val="24"/>
                <w:shd w:val="clear" w:color="auto" w:fill="FFFFFF"/>
              </w:rPr>
              <w:t>(</w:t>
            </w:r>
            <w:r w:rsidRPr="00E625C9">
              <w:rPr>
                <w:rStyle w:val="spelle"/>
                <w:rFonts w:cstheme="minorHAnsi"/>
                <w:color w:val="000000"/>
                <w:sz w:val="24"/>
                <w:szCs w:val="24"/>
                <w:shd w:val="clear" w:color="auto" w:fill="FFFFFF"/>
              </w:rPr>
              <w:t>i</w:t>
            </w:r>
            <w:r w:rsidRPr="00E625C9">
              <w:rPr>
                <w:rFonts w:cstheme="minorHAnsi"/>
                <w:color w:val="000000"/>
                <w:sz w:val="24"/>
                <w:szCs w:val="24"/>
                <w:shd w:val="clear" w:color="auto" w:fill="FFFFFF"/>
              </w:rPr>
              <w:t>)</w:t>
            </w:r>
            <w:r>
              <w:rPr>
                <w:rFonts w:cstheme="minorHAnsi"/>
                <w:color w:val="000000"/>
                <w:sz w:val="24"/>
                <w:szCs w:val="24"/>
                <w:shd w:val="clear" w:color="auto" w:fill="FFFFFF"/>
              </w:rPr>
              <w:tab/>
            </w:r>
            <w:r w:rsidRPr="00E625C9">
              <w:rPr>
                <w:rFonts w:cstheme="minorHAnsi"/>
                <w:color w:val="000000"/>
                <w:sz w:val="24"/>
                <w:szCs w:val="24"/>
                <w:shd w:val="clear" w:color="auto" w:fill="FFFFFF"/>
              </w:rPr>
              <w:t xml:space="preserve">information obtained is recorded in such a manner that human subjects can be identified, directly or through identifiers linked to the subjects; and </w:t>
            </w:r>
          </w:p>
          <w:p w14:paraId="47F4C2E5" w14:textId="77777777" w:rsidR="00E625C9" w:rsidRDefault="00E625C9" w:rsidP="00E625C9">
            <w:pPr>
              <w:ind w:left="360" w:hanging="360"/>
              <w:rPr>
                <w:rFonts w:cstheme="minorHAnsi"/>
                <w:color w:val="000000"/>
                <w:sz w:val="24"/>
                <w:szCs w:val="24"/>
                <w:shd w:val="clear" w:color="auto" w:fill="FFFFFF"/>
              </w:rPr>
            </w:pPr>
          </w:p>
          <w:p w14:paraId="13E5AACE" w14:textId="77777777" w:rsidR="005E151D" w:rsidRDefault="005E151D" w:rsidP="00E625C9">
            <w:pPr>
              <w:ind w:left="360" w:hanging="360"/>
              <w:rPr>
                <w:rFonts w:cstheme="minorHAnsi"/>
                <w:color w:val="000000"/>
                <w:sz w:val="24"/>
                <w:szCs w:val="24"/>
                <w:shd w:val="clear" w:color="auto" w:fill="FFFFFF"/>
              </w:rPr>
            </w:pPr>
          </w:p>
          <w:p w14:paraId="6CD64B9E" w14:textId="77777777" w:rsidR="00386633" w:rsidRPr="00E625C9" w:rsidRDefault="00E625C9" w:rsidP="00E625C9">
            <w:pPr>
              <w:ind w:left="360" w:hanging="360"/>
              <w:rPr>
                <w:rFonts w:cstheme="minorHAnsi"/>
                <w:sz w:val="24"/>
                <w:szCs w:val="24"/>
              </w:rPr>
            </w:pPr>
            <w:r>
              <w:rPr>
                <w:rFonts w:cstheme="minorHAnsi"/>
                <w:color w:val="000000"/>
                <w:sz w:val="24"/>
                <w:szCs w:val="24"/>
                <w:shd w:val="clear" w:color="auto" w:fill="FFFFFF"/>
              </w:rPr>
              <w:t>(ii)</w:t>
            </w:r>
            <w:r>
              <w:rPr>
                <w:rFonts w:cstheme="minorHAnsi"/>
                <w:color w:val="000000"/>
                <w:sz w:val="24"/>
                <w:szCs w:val="24"/>
                <w:shd w:val="clear" w:color="auto" w:fill="FFFFFF"/>
              </w:rPr>
              <w:tab/>
            </w:r>
            <w:proofErr w:type="gramStart"/>
            <w:r w:rsidRPr="00E625C9">
              <w:rPr>
                <w:rFonts w:cstheme="minorHAnsi"/>
                <w:color w:val="000000"/>
                <w:sz w:val="24"/>
                <w:szCs w:val="24"/>
                <w:shd w:val="clear" w:color="auto" w:fill="FFFFFF"/>
              </w:rPr>
              <w:t>any</w:t>
            </w:r>
            <w:proofErr w:type="gramEnd"/>
            <w:r w:rsidRPr="00E625C9">
              <w:rPr>
                <w:rFonts w:cstheme="minorHAnsi"/>
                <w:color w:val="000000"/>
                <w:sz w:val="24"/>
                <w:szCs w:val="24"/>
                <w:shd w:val="clear" w:color="auto" w:fill="FFFFFF"/>
              </w:rPr>
              <w:t xml:space="preserve"> disclosure of the human subjects' responses outside the research could reasonably place the subjects at risk of criminal or civil liability or be damaging to the subjects' financial standing, employability, or reputation.</w:t>
            </w:r>
          </w:p>
        </w:tc>
        <w:tc>
          <w:tcPr>
            <w:tcW w:w="4140" w:type="dxa"/>
          </w:tcPr>
          <w:p w14:paraId="741FE1BC" w14:textId="77777777" w:rsidR="00097BD5" w:rsidRDefault="00097BD5" w:rsidP="005E151D">
            <w:pPr>
              <w:pStyle w:val="NormalWeb"/>
              <w:shd w:val="clear" w:color="auto" w:fill="FFFFFF"/>
              <w:spacing w:before="0" w:beforeAutospacing="0" w:after="0" w:afterAutospacing="0"/>
              <w:rPr>
                <w:rFonts w:asciiTheme="minorHAnsi" w:hAnsiTheme="minorHAnsi" w:cstheme="minorHAnsi"/>
                <w:color w:val="000000"/>
              </w:rPr>
            </w:pPr>
            <w:r w:rsidRPr="00544BA2">
              <w:rPr>
                <w:rFonts w:asciiTheme="minorHAnsi" w:hAnsiTheme="minorHAnsi" w:cstheme="minorHAnsi"/>
                <w:color w:val="000000"/>
              </w:rPr>
              <w:t xml:space="preserve">(2) Research that </w:t>
            </w:r>
            <w:r w:rsidRPr="00E625C9">
              <w:rPr>
                <w:rFonts w:asciiTheme="minorHAnsi" w:hAnsiTheme="minorHAnsi" w:cstheme="minorHAnsi"/>
                <w:i/>
                <w:color w:val="C00000"/>
              </w:rPr>
              <w:t>only includes interactions</w:t>
            </w:r>
            <w:r w:rsidRPr="00544BA2">
              <w:rPr>
                <w:rFonts w:asciiTheme="minorHAnsi" w:hAnsiTheme="minorHAnsi" w:cstheme="minorHAnsi"/>
                <w:color w:val="000000"/>
              </w:rPr>
              <w:t xml:space="preserve"> involving educational tests (cognitive, diagnostic, aptitude, achievement), survey procedures, interview procedures, or observation of public behavior (including visual or auditory recording) if at least one of the following criteria is met:</w:t>
            </w:r>
          </w:p>
          <w:p w14:paraId="0623D486" w14:textId="77777777" w:rsidR="005E151D" w:rsidRDefault="005E151D" w:rsidP="005E151D">
            <w:pPr>
              <w:pStyle w:val="NormalWeb"/>
              <w:shd w:val="clear" w:color="auto" w:fill="FFFFFF"/>
              <w:spacing w:before="0" w:beforeAutospacing="0" w:after="0" w:afterAutospacing="0"/>
              <w:rPr>
                <w:rFonts w:asciiTheme="minorHAnsi" w:hAnsiTheme="minorHAnsi" w:cstheme="minorHAnsi"/>
                <w:color w:val="000000"/>
              </w:rPr>
            </w:pPr>
          </w:p>
          <w:p w14:paraId="279CC976" w14:textId="77777777" w:rsidR="00097BD5" w:rsidRDefault="00097BD5" w:rsidP="005E151D">
            <w:pPr>
              <w:pStyle w:val="NormalWeb"/>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(i)</w:t>
            </w:r>
            <w:r w:rsidR="00E625C9">
              <w:rPr>
                <w:rFonts w:asciiTheme="minorHAnsi" w:hAnsiTheme="minorHAnsi" w:cstheme="minorHAnsi"/>
                <w:color w:val="000000"/>
              </w:rPr>
              <w:tab/>
            </w:r>
            <w:r w:rsidRPr="00544BA2">
              <w:rPr>
                <w:rFonts w:asciiTheme="minorHAnsi" w:hAnsiTheme="minorHAnsi" w:cstheme="minorHAnsi"/>
                <w:color w:val="000000"/>
              </w:rPr>
              <w:t>The information obtained is recorded by the investigator in such a manner that the identity of the human subjects cannot readily be ascertained, directly or through identifiers linked to the subjects;</w:t>
            </w:r>
          </w:p>
          <w:p w14:paraId="44E970DC" w14:textId="77777777" w:rsidR="00097BD5" w:rsidRPr="00544BA2" w:rsidRDefault="00097BD5" w:rsidP="005E151D">
            <w:pPr>
              <w:pStyle w:val="NormalWeb"/>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(ii)</w:t>
            </w:r>
            <w:r w:rsidR="00E625C9">
              <w:rPr>
                <w:rFonts w:asciiTheme="minorHAnsi" w:hAnsiTheme="minorHAnsi" w:cstheme="minorHAnsi"/>
                <w:color w:val="000000"/>
              </w:rPr>
              <w:tab/>
            </w:r>
            <w:r w:rsidRPr="00544BA2">
              <w:rPr>
                <w:rFonts w:asciiTheme="minorHAnsi" w:hAnsiTheme="minorHAnsi" w:cstheme="minorHAnsi"/>
                <w:color w:val="000000"/>
              </w:rPr>
              <w:t xml:space="preserve">Any disclosure of the human subjects' responses outside the research would not reasonably place the subjects at risk of criminal or civil liability or be damaging to the subjects' financial standing, employability, </w:t>
            </w:r>
            <w:r w:rsidRPr="005E151D">
              <w:rPr>
                <w:rFonts w:asciiTheme="minorHAnsi" w:hAnsiTheme="minorHAnsi" w:cstheme="minorHAnsi"/>
                <w:i/>
                <w:color w:val="C00000"/>
              </w:rPr>
              <w:t>educational advancement,</w:t>
            </w:r>
            <w:r w:rsidRPr="00544BA2">
              <w:rPr>
                <w:rFonts w:asciiTheme="minorHAnsi" w:hAnsiTheme="minorHAnsi" w:cstheme="minorHAnsi"/>
                <w:color w:val="000000"/>
              </w:rPr>
              <w:t xml:space="preserve"> or reputation; or</w:t>
            </w:r>
          </w:p>
          <w:p w14:paraId="4A9B7C37" w14:textId="77777777" w:rsidR="00386633" w:rsidRPr="00544BA2" w:rsidRDefault="00097BD5" w:rsidP="00194148">
            <w:pPr>
              <w:pStyle w:val="NormalWeb"/>
              <w:numPr>
                <w:ilvl w:val="0"/>
                <w:numId w:val="3"/>
              </w:numPr>
              <w:shd w:val="clear" w:color="auto" w:fill="FFFFFF"/>
              <w:spacing w:after="0" w:afterAutospacing="0"/>
              <w:ind w:left="360" w:hanging="360"/>
              <w:rPr>
                <w:rFonts w:asciiTheme="minorHAnsi" w:hAnsiTheme="minorHAnsi" w:cstheme="minorHAnsi"/>
              </w:rPr>
            </w:pPr>
            <w:r w:rsidRPr="00544BA2">
              <w:rPr>
                <w:rFonts w:asciiTheme="minorHAnsi" w:hAnsiTheme="minorHAnsi" w:cstheme="minorHAnsi"/>
                <w:i/>
                <w:color w:val="C00000"/>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tc>
        <w:tc>
          <w:tcPr>
            <w:tcW w:w="3780" w:type="dxa"/>
          </w:tcPr>
          <w:p w14:paraId="49F93115" w14:textId="77777777" w:rsidR="00E625C9" w:rsidRDefault="00E625C9" w:rsidP="005E151D">
            <w:pPr>
              <w:rPr>
                <w:sz w:val="24"/>
              </w:rPr>
            </w:pPr>
            <w:r>
              <w:rPr>
                <w:sz w:val="24"/>
              </w:rPr>
              <w:t xml:space="preserve">Clarifies that this research must only involve these types of research procedures.  Research involving other types of interventions (e.g., </w:t>
            </w:r>
            <w:r w:rsidR="005E151D">
              <w:rPr>
                <w:sz w:val="24"/>
              </w:rPr>
              <w:t>watch a video and you’re your impression) are not allowed under this category but may qualify for Exemption Category 3.</w:t>
            </w:r>
          </w:p>
          <w:p w14:paraId="77DCCA11" w14:textId="77777777" w:rsidR="005E151D" w:rsidRDefault="005E151D" w:rsidP="005E151D">
            <w:pPr>
              <w:ind w:left="360" w:hanging="360"/>
              <w:rPr>
                <w:sz w:val="24"/>
              </w:rPr>
            </w:pPr>
          </w:p>
          <w:p w14:paraId="6C40ED67" w14:textId="77777777" w:rsidR="005E151D" w:rsidRPr="005E151D" w:rsidRDefault="005E151D" w:rsidP="005E151D">
            <w:pPr>
              <w:pStyle w:val="ListParagraph"/>
              <w:numPr>
                <w:ilvl w:val="0"/>
                <w:numId w:val="4"/>
              </w:numPr>
              <w:ind w:left="360" w:hanging="360"/>
              <w:rPr>
                <w:sz w:val="24"/>
              </w:rPr>
            </w:pPr>
            <w:r>
              <w:rPr>
                <w:sz w:val="24"/>
              </w:rPr>
              <w:t>No significant change</w:t>
            </w:r>
          </w:p>
          <w:p w14:paraId="11E072BF" w14:textId="77777777" w:rsidR="005E151D" w:rsidRDefault="005E151D" w:rsidP="005E151D">
            <w:pPr>
              <w:ind w:left="360" w:hanging="360"/>
              <w:rPr>
                <w:sz w:val="24"/>
              </w:rPr>
            </w:pPr>
          </w:p>
          <w:p w14:paraId="6A9EB345" w14:textId="77777777" w:rsidR="005E151D" w:rsidRDefault="005E151D" w:rsidP="005E151D">
            <w:pPr>
              <w:ind w:left="360" w:hanging="360"/>
              <w:rPr>
                <w:sz w:val="24"/>
              </w:rPr>
            </w:pPr>
          </w:p>
          <w:p w14:paraId="65504C82" w14:textId="77777777" w:rsidR="005E151D" w:rsidRDefault="005E151D" w:rsidP="005E151D">
            <w:pPr>
              <w:ind w:left="360" w:hanging="360"/>
              <w:rPr>
                <w:sz w:val="24"/>
              </w:rPr>
            </w:pPr>
          </w:p>
          <w:p w14:paraId="54940D63" w14:textId="77777777" w:rsidR="005E151D" w:rsidRDefault="005E151D" w:rsidP="005E151D">
            <w:pPr>
              <w:ind w:left="360" w:hanging="360"/>
              <w:rPr>
                <w:sz w:val="24"/>
              </w:rPr>
            </w:pPr>
          </w:p>
          <w:p w14:paraId="4ED279F6" w14:textId="77777777" w:rsidR="005E151D" w:rsidRDefault="005E151D" w:rsidP="005E151D">
            <w:pPr>
              <w:ind w:left="360" w:hanging="360"/>
              <w:rPr>
                <w:sz w:val="24"/>
              </w:rPr>
            </w:pPr>
          </w:p>
          <w:p w14:paraId="7B9DBAE4" w14:textId="77777777" w:rsidR="005E151D" w:rsidRDefault="005E151D" w:rsidP="005E151D">
            <w:pPr>
              <w:pStyle w:val="ListParagraph"/>
              <w:numPr>
                <w:ilvl w:val="0"/>
                <w:numId w:val="4"/>
              </w:numPr>
              <w:ind w:left="360" w:hanging="360"/>
              <w:rPr>
                <w:sz w:val="24"/>
              </w:rPr>
            </w:pPr>
            <w:r w:rsidRPr="005E151D">
              <w:rPr>
                <w:sz w:val="24"/>
              </w:rPr>
              <w:t>added “educational advancement”</w:t>
            </w:r>
          </w:p>
          <w:p w14:paraId="6D17A593" w14:textId="77777777" w:rsidR="005E151D" w:rsidRDefault="005E151D" w:rsidP="005E151D">
            <w:pPr>
              <w:ind w:left="360" w:hanging="360"/>
              <w:rPr>
                <w:sz w:val="24"/>
              </w:rPr>
            </w:pPr>
          </w:p>
          <w:p w14:paraId="3F37F635" w14:textId="77777777" w:rsidR="005E151D" w:rsidRDefault="005E151D" w:rsidP="005E151D">
            <w:pPr>
              <w:ind w:left="360" w:hanging="360"/>
              <w:rPr>
                <w:sz w:val="24"/>
              </w:rPr>
            </w:pPr>
          </w:p>
          <w:p w14:paraId="60ED2831" w14:textId="77777777" w:rsidR="005E151D" w:rsidRDefault="005E151D" w:rsidP="005E151D">
            <w:pPr>
              <w:ind w:left="360" w:hanging="360"/>
              <w:rPr>
                <w:sz w:val="24"/>
              </w:rPr>
            </w:pPr>
          </w:p>
          <w:p w14:paraId="052BD0F2" w14:textId="77777777" w:rsidR="005E151D" w:rsidRDefault="005E151D" w:rsidP="005E151D">
            <w:pPr>
              <w:ind w:left="360" w:hanging="360"/>
              <w:rPr>
                <w:sz w:val="24"/>
              </w:rPr>
            </w:pPr>
          </w:p>
          <w:p w14:paraId="7CFB9207" w14:textId="77777777" w:rsidR="005E151D" w:rsidRDefault="005E151D" w:rsidP="005E151D">
            <w:pPr>
              <w:ind w:left="360" w:hanging="360"/>
              <w:rPr>
                <w:sz w:val="24"/>
              </w:rPr>
            </w:pPr>
          </w:p>
          <w:p w14:paraId="5A1E06A2" w14:textId="77777777" w:rsidR="005E151D" w:rsidRDefault="005E151D" w:rsidP="005E151D">
            <w:pPr>
              <w:ind w:left="360" w:hanging="360"/>
              <w:rPr>
                <w:sz w:val="24"/>
              </w:rPr>
            </w:pPr>
          </w:p>
          <w:p w14:paraId="4CF16ADD" w14:textId="77777777" w:rsidR="005E151D" w:rsidRPr="005E151D" w:rsidRDefault="005E151D" w:rsidP="005E151D">
            <w:pPr>
              <w:ind w:left="360" w:hanging="360"/>
              <w:rPr>
                <w:sz w:val="24"/>
              </w:rPr>
            </w:pPr>
          </w:p>
          <w:p w14:paraId="649D7D58" w14:textId="77777777" w:rsidR="00386633" w:rsidRPr="005E151D" w:rsidRDefault="00544BA2" w:rsidP="005E151D">
            <w:pPr>
              <w:pStyle w:val="ListParagraph"/>
              <w:numPr>
                <w:ilvl w:val="0"/>
                <w:numId w:val="4"/>
              </w:numPr>
              <w:ind w:left="360" w:hanging="360"/>
              <w:rPr>
                <w:sz w:val="24"/>
              </w:rPr>
            </w:pPr>
            <w:r w:rsidRPr="005E151D">
              <w:rPr>
                <w:sz w:val="24"/>
              </w:rPr>
              <w:t xml:space="preserve">Major change allows for the inclusion of identifiable AND sensitive surveys/interviews (iii).  This section will require a </w:t>
            </w:r>
            <w:r w:rsidRPr="005E151D">
              <w:rPr>
                <w:i/>
                <w:color w:val="C00000"/>
                <w:sz w:val="24"/>
              </w:rPr>
              <w:t>limited review</w:t>
            </w:r>
            <w:r w:rsidRPr="005E151D">
              <w:rPr>
                <w:sz w:val="24"/>
              </w:rPr>
              <w:t>.</w:t>
            </w:r>
          </w:p>
          <w:p w14:paraId="08DE89BD" w14:textId="77777777" w:rsidR="005E151D" w:rsidRPr="00386633" w:rsidRDefault="005E151D" w:rsidP="005E151D">
            <w:pPr>
              <w:ind w:left="360" w:hanging="360"/>
              <w:rPr>
                <w:sz w:val="24"/>
              </w:rPr>
            </w:pPr>
          </w:p>
        </w:tc>
      </w:tr>
      <w:tr w:rsidR="006669A8" w:rsidRPr="00386633" w14:paraId="5840BEC2" w14:textId="77777777" w:rsidTr="00386633">
        <w:tc>
          <w:tcPr>
            <w:tcW w:w="2245" w:type="dxa"/>
          </w:tcPr>
          <w:p w14:paraId="0ADB16F3" w14:textId="77777777" w:rsidR="006669A8" w:rsidRDefault="005E151D" w:rsidP="006669A8">
            <w:pPr>
              <w:rPr>
                <w:b/>
                <w:sz w:val="24"/>
              </w:rPr>
            </w:pPr>
            <w:r>
              <w:rPr>
                <w:b/>
                <w:sz w:val="24"/>
              </w:rPr>
              <w:t>Category 3</w:t>
            </w:r>
          </w:p>
          <w:p w14:paraId="120C0FB1" w14:textId="77777777" w:rsidR="005E151D" w:rsidRPr="00B71EB1" w:rsidRDefault="005E151D" w:rsidP="006669A8">
            <w:pPr>
              <w:rPr>
                <w:b/>
                <w:sz w:val="24"/>
              </w:rPr>
            </w:pPr>
          </w:p>
        </w:tc>
        <w:tc>
          <w:tcPr>
            <w:tcW w:w="3960" w:type="dxa"/>
          </w:tcPr>
          <w:p w14:paraId="73C2C19B" w14:textId="77777777" w:rsidR="00840D9B" w:rsidRDefault="005E151D" w:rsidP="00840D9B">
            <w:pPr>
              <w:rPr>
                <w:rFonts w:cstheme="minorHAnsi"/>
                <w:color w:val="000000"/>
                <w:sz w:val="24"/>
                <w:szCs w:val="24"/>
                <w:shd w:val="clear" w:color="auto" w:fill="FFFFFF"/>
              </w:rPr>
            </w:pPr>
            <w:r w:rsidRPr="005E151D">
              <w:rPr>
                <w:rFonts w:cstheme="minorHAnsi"/>
                <w:color w:val="000000"/>
                <w:sz w:val="24"/>
                <w:szCs w:val="24"/>
                <w:shd w:val="clear" w:color="auto" w:fill="FFFFFF"/>
              </w:rPr>
              <w:t>(3) Research involving the use of educational tests (cognitive, diagnostic, aptitude, achievement), survey procedures, interview procedures, or observation of public behavior that is not exempt under paragraph </w:t>
            </w:r>
            <w:hyperlink r:id="rId5" w:anchor="46.101(b)" w:history="1">
              <w:r w:rsidRPr="005E151D">
                <w:rPr>
                  <w:rStyle w:val="Hyperlink"/>
                  <w:rFonts w:cstheme="minorHAnsi"/>
                  <w:color w:val="6F57B5"/>
                  <w:sz w:val="24"/>
                  <w:szCs w:val="24"/>
                  <w:shd w:val="clear" w:color="auto" w:fill="FFFFFF"/>
                </w:rPr>
                <w:t>(b)(2)</w:t>
              </w:r>
            </w:hyperlink>
            <w:r w:rsidRPr="005E151D">
              <w:rPr>
                <w:rFonts w:cstheme="minorHAnsi"/>
                <w:color w:val="000000"/>
                <w:sz w:val="24"/>
                <w:szCs w:val="24"/>
                <w:shd w:val="clear" w:color="auto" w:fill="FFFFFF"/>
              </w:rPr>
              <w:t> of this section, if:</w:t>
            </w:r>
          </w:p>
          <w:p w14:paraId="118A3C04" w14:textId="77777777" w:rsidR="00840D9B" w:rsidRDefault="00840D9B" w:rsidP="00840D9B">
            <w:pPr>
              <w:rPr>
                <w:rFonts w:cstheme="minorHAnsi"/>
                <w:color w:val="000000"/>
                <w:sz w:val="24"/>
                <w:szCs w:val="24"/>
                <w:shd w:val="clear" w:color="auto" w:fill="FFFFFF"/>
              </w:rPr>
            </w:pPr>
          </w:p>
          <w:p w14:paraId="7F2D1DB9" w14:textId="77777777" w:rsidR="00840D9B" w:rsidRDefault="005E151D" w:rsidP="00840D9B">
            <w:pPr>
              <w:pStyle w:val="ListParagraph"/>
              <w:numPr>
                <w:ilvl w:val="0"/>
                <w:numId w:val="6"/>
              </w:numPr>
              <w:ind w:left="360" w:hanging="360"/>
              <w:rPr>
                <w:rFonts w:cstheme="minorHAnsi"/>
                <w:color w:val="000000"/>
                <w:sz w:val="24"/>
                <w:szCs w:val="24"/>
                <w:shd w:val="clear" w:color="auto" w:fill="FFFFFF"/>
              </w:rPr>
            </w:pPr>
            <w:r w:rsidRPr="00840D9B">
              <w:rPr>
                <w:rFonts w:cstheme="minorHAnsi"/>
                <w:color w:val="000000"/>
                <w:sz w:val="24"/>
                <w:szCs w:val="24"/>
                <w:shd w:val="clear" w:color="auto" w:fill="FFFFFF"/>
              </w:rPr>
              <w:t xml:space="preserve">the human subjects are elected or appointed public officials or candidates for public office; or </w:t>
            </w:r>
          </w:p>
          <w:p w14:paraId="00DA2BDC" w14:textId="77777777" w:rsidR="00840D9B" w:rsidRPr="00840D9B" w:rsidRDefault="00840D9B" w:rsidP="00840D9B">
            <w:pPr>
              <w:pStyle w:val="ListParagraph"/>
              <w:ind w:left="360" w:hanging="360"/>
              <w:rPr>
                <w:rFonts w:cstheme="minorHAnsi"/>
                <w:color w:val="000000"/>
                <w:sz w:val="24"/>
                <w:szCs w:val="24"/>
                <w:shd w:val="clear" w:color="auto" w:fill="FFFFFF"/>
              </w:rPr>
            </w:pPr>
          </w:p>
          <w:p w14:paraId="4CD14EE5" w14:textId="77777777" w:rsidR="006669A8" w:rsidRPr="00840D9B" w:rsidRDefault="005E151D" w:rsidP="00840D9B">
            <w:pPr>
              <w:pStyle w:val="ListParagraph"/>
              <w:numPr>
                <w:ilvl w:val="0"/>
                <w:numId w:val="6"/>
              </w:numPr>
              <w:ind w:left="360" w:hanging="360"/>
              <w:rPr>
                <w:rFonts w:cstheme="minorHAnsi"/>
                <w:sz w:val="24"/>
                <w:szCs w:val="24"/>
              </w:rPr>
            </w:pPr>
            <w:r w:rsidRPr="00840D9B">
              <w:rPr>
                <w:rFonts w:cstheme="minorHAnsi"/>
                <w:color w:val="000000"/>
                <w:sz w:val="24"/>
                <w:szCs w:val="24"/>
                <w:shd w:val="clear" w:color="auto" w:fill="FFFFFF"/>
              </w:rPr>
              <w:t xml:space="preserve">(ii) </w:t>
            </w:r>
            <w:proofErr w:type="gramStart"/>
            <w:r w:rsidRPr="00840D9B">
              <w:rPr>
                <w:rFonts w:cstheme="minorHAnsi"/>
                <w:color w:val="000000"/>
                <w:sz w:val="24"/>
                <w:szCs w:val="24"/>
                <w:shd w:val="clear" w:color="auto" w:fill="FFFFFF"/>
              </w:rPr>
              <w:t>federal</w:t>
            </w:r>
            <w:proofErr w:type="gramEnd"/>
            <w:r w:rsidRPr="00840D9B">
              <w:rPr>
                <w:rFonts w:cstheme="minorHAnsi"/>
                <w:color w:val="000000"/>
                <w:sz w:val="24"/>
                <w:szCs w:val="24"/>
                <w:shd w:val="clear" w:color="auto" w:fill="FFFFFF"/>
              </w:rPr>
              <w:t xml:space="preserve"> statute(s) require(s) without exception that the confidentiality of the personally identifiable information will be maintained throughout the research and thereafter.</w:t>
            </w:r>
          </w:p>
        </w:tc>
        <w:tc>
          <w:tcPr>
            <w:tcW w:w="4140" w:type="dxa"/>
          </w:tcPr>
          <w:p w14:paraId="14CC74F9" w14:textId="77777777" w:rsidR="006669A8" w:rsidRDefault="006669A8" w:rsidP="00544BA2">
            <w:pPr>
              <w:pStyle w:val="NormalWeb"/>
              <w:shd w:val="clear" w:color="auto" w:fill="FFFFFF"/>
              <w:spacing w:after="0" w:afterAutospacing="0"/>
              <w:rPr>
                <w:rFonts w:asciiTheme="minorHAnsi" w:hAnsiTheme="minorHAnsi" w:cstheme="minorHAnsi"/>
                <w:color w:val="000000"/>
              </w:rPr>
            </w:pPr>
            <w:r w:rsidRPr="00544BA2">
              <w:rPr>
                <w:rFonts w:asciiTheme="minorHAnsi" w:hAnsiTheme="minorHAnsi" w:cstheme="minorHAnsi"/>
                <w:color w:val="000000"/>
              </w:rPr>
              <w:t>(3)(i)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02B021DE" w14:textId="77777777" w:rsidR="005E151D" w:rsidRPr="00544BA2" w:rsidRDefault="005E151D" w:rsidP="00544BA2">
            <w:pPr>
              <w:pStyle w:val="NormalWeb"/>
              <w:shd w:val="clear" w:color="auto" w:fill="FFFFFF"/>
              <w:spacing w:after="0" w:afterAutospacing="0"/>
              <w:rPr>
                <w:rFonts w:asciiTheme="minorHAnsi" w:hAnsiTheme="minorHAnsi" w:cstheme="minorHAnsi"/>
                <w:color w:val="000000"/>
              </w:rPr>
            </w:pPr>
          </w:p>
          <w:p w14:paraId="3A0FF7F9" w14:textId="77777777" w:rsidR="006669A8" w:rsidRDefault="006669A8" w:rsidP="00840D9B">
            <w:pPr>
              <w:pStyle w:val="NormalWeb"/>
              <w:numPr>
                <w:ilvl w:val="0"/>
                <w:numId w:val="5"/>
              </w:numPr>
              <w:shd w:val="clear" w:color="auto" w:fill="FFFFFF"/>
              <w:spacing w:before="0" w:beforeAutospacing="0" w:after="0" w:afterAutospacing="0"/>
              <w:ind w:left="360"/>
              <w:rPr>
                <w:rFonts w:asciiTheme="minorHAnsi" w:hAnsiTheme="minorHAnsi" w:cstheme="minorHAnsi"/>
                <w:color w:val="000000"/>
              </w:rPr>
            </w:pPr>
            <w:r w:rsidRPr="00544BA2">
              <w:rPr>
                <w:rFonts w:asciiTheme="minorHAnsi" w:hAnsiTheme="minorHAnsi" w:cstheme="minorHAnsi"/>
                <w:color w:val="000000"/>
              </w:rPr>
              <w:t>The information obtained is recorded by the investigator in such a manner that the identity of the human subjects cannot readily be ascertained, directly or through identifiers linked to the subjects;</w:t>
            </w:r>
          </w:p>
          <w:p w14:paraId="11A8D963" w14:textId="77777777" w:rsidR="00840D9B" w:rsidRPr="00544BA2" w:rsidRDefault="00840D9B" w:rsidP="00840D9B">
            <w:pPr>
              <w:pStyle w:val="NormalWeb"/>
              <w:shd w:val="clear" w:color="auto" w:fill="FFFFFF"/>
              <w:spacing w:before="0" w:beforeAutospacing="0" w:after="0" w:afterAutospacing="0"/>
              <w:ind w:left="720"/>
              <w:rPr>
                <w:rFonts w:asciiTheme="minorHAnsi" w:hAnsiTheme="minorHAnsi" w:cstheme="minorHAnsi"/>
                <w:color w:val="000000"/>
              </w:rPr>
            </w:pPr>
          </w:p>
          <w:p w14:paraId="15A871DA" w14:textId="77777777" w:rsidR="006669A8" w:rsidRDefault="006669A8" w:rsidP="00840D9B">
            <w:pPr>
              <w:pStyle w:val="NormalWeb"/>
              <w:numPr>
                <w:ilvl w:val="0"/>
                <w:numId w:val="5"/>
              </w:numPr>
              <w:shd w:val="clear" w:color="auto" w:fill="FFFFFF"/>
              <w:spacing w:before="0" w:beforeAutospacing="0" w:after="0" w:afterAutospacing="0"/>
              <w:ind w:left="360"/>
              <w:rPr>
                <w:rFonts w:asciiTheme="minorHAnsi" w:hAnsiTheme="minorHAnsi" w:cstheme="minorHAnsi"/>
                <w:color w:val="000000"/>
              </w:rPr>
            </w:pPr>
            <w:r w:rsidRPr="00544BA2">
              <w:rPr>
                <w:rFonts w:asciiTheme="minorHAnsi" w:hAnsiTheme="minorHAnsi" w:cstheme="minorHAnsi"/>
                <w:color w:val="000000"/>
              </w:rPr>
              <w:t xml:space="preserve">Any disclosure of the human subjects' responses outside the research would not reasonably place the subjects at risk of criminal or civil liability or be damaging to </w:t>
            </w:r>
            <w:r w:rsidRPr="00544BA2">
              <w:rPr>
                <w:rFonts w:asciiTheme="minorHAnsi" w:hAnsiTheme="minorHAnsi" w:cstheme="minorHAnsi"/>
                <w:color w:val="000000"/>
              </w:rPr>
              <w:lastRenderedPageBreak/>
              <w:t>the subjects' financial standing, employability, educational advancement, or reputation; or</w:t>
            </w:r>
          </w:p>
          <w:p w14:paraId="7A246539" w14:textId="77777777" w:rsidR="00840D9B" w:rsidRDefault="00840D9B" w:rsidP="00840D9B">
            <w:pPr>
              <w:pStyle w:val="ListParagraph"/>
              <w:rPr>
                <w:rFonts w:cstheme="minorHAnsi"/>
                <w:color w:val="000000"/>
              </w:rPr>
            </w:pPr>
          </w:p>
          <w:p w14:paraId="614C4247" w14:textId="77777777" w:rsidR="00840D9B" w:rsidRPr="00544BA2" w:rsidRDefault="00840D9B" w:rsidP="00840D9B">
            <w:pPr>
              <w:pStyle w:val="NormalWeb"/>
              <w:shd w:val="clear" w:color="auto" w:fill="FFFFFF"/>
              <w:spacing w:before="0" w:beforeAutospacing="0" w:after="0" w:afterAutospacing="0"/>
              <w:ind w:left="720"/>
              <w:rPr>
                <w:rFonts w:asciiTheme="minorHAnsi" w:hAnsiTheme="minorHAnsi" w:cstheme="minorHAnsi"/>
                <w:color w:val="000000"/>
              </w:rPr>
            </w:pPr>
          </w:p>
          <w:p w14:paraId="45978053" w14:textId="77777777" w:rsidR="006669A8" w:rsidRPr="00544BA2" w:rsidRDefault="006669A8" w:rsidP="005E151D">
            <w:pPr>
              <w:pStyle w:val="NormalWeb"/>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(C)</w:t>
            </w:r>
            <w:r w:rsidR="005E151D">
              <w:rPr>
                <w:rFonts w:asciiTheme="minorHAnsi" w:hAnsiTheme="minorHAnsi" w:cstheme="minorHAnsi"/>
                <w:color w:val="000000"/>
              </w:rPr>
              <w:tab/>
            </w:r>
            <w:r w:rsidRPr="00544BA2">
              <w:rPr>
                <w:rFonts w:asciiTheme="minorHAnsi" w:hAnsiTheme="minorHAnsi" w:cstheme="minorHAnsi"/>
                <w:color w:val="000000"/>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6022C485" w14:textId="77777777" w:rsidR="006669A8" w:rsidRPr="00544BA2" w:rsidRDefault="006669A8" w:rsidP="00544BA2">
            <w:pPr>
              <w:pStyle w:val="NormalWeb"/>
              <w:shd w:val="clear" w:color="auto" w:fill="FFFFFF"/>
              <w:spacing w:after="0" w:afterAutospacing="0"/>
              <w:rPr>
                <w:rFonts w:asciiTheme="minorHAnsi" w:hAnsiTheme="minorHAnsi" w:cstheme="minorHAnsi"/>
                <w:color w:val="000000"/>
              </w:rPr>
            </w:pPr>
            <w:r w:rsidRPr="00544BA2">
              <w:rPr>
                <w:rFonts w:asciiTheme="minorHAnsi" w:hAnsiTheme="minorHAnsi" w:cstheme="minorHAnsi"/>
                <w:color w:val="000000"/>
              </w:rPr>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30DA1063" w14:textId="77777777" w:rsidR="006669A8" w:rsidRPr="00544BA2" w:rsidRDefault="006669A8" w:rsidP="00194148">
            <w:pPr>
              <w:pStyle w:val="NormalWeb"/>
              <w:shd w:val="clear" w:color="auto" w:fill="FFFFFF"/>
              <w:spacing w:after="0" w:afterAutospacing="0"/>
              <w:rPr>
                <w:rFonts w:asciiTheme="minorHAnsi" w:hAnsiTheme="minorHAnsi" w:cstheme="minorHAnsi"/>
                <w:color w:val="000000"/>
              </w:rPr>
            </w:pPr>
            <w:r w:rsidRPr="00544BA2">
              <w:rPr>
                <w:rFonts w:asciiTheme="minorHAnsi" w:hAnsiTheme="minorHAnsi" w:cstheme="minorHAnsi"/>
                <w:color w:val="000000"/>
              </w:rP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tc>
        <w:tc>
          <w:tcPr>
            <w:tcW w:w="3780" w:type="dxa"/>
          </w:tcPr>
          <w:p w14:paraId="38B37949" w14:textId="77777777" w:rsidR="006669A8" w:rsidRDefault="006669A8" w:rsidP="006669A8">
            <w:pPr>
              <w:rPr>
                <w:sz w:val="24"/>
              </w:rPr>
            </w:pPr>
            <w:r>
              <w:rPr>
                <w:sz w:val="24"/>
              </w:rPr>
              <w:lastRenderedPageBreak/>
              <w:t>Old Category 3 is gone and replaced with entirely new category for benign behavioral interventions</w:t>
            </w:r>
          </w:p>
        </w:tc>
      </w:tr>
      <w:tr w:rsidR="006669A8" w:rsidRPr="00386633" w14:paraId="67FA99E6" w14:textId="77777777" w:rsidTr="00386633">
        <w:tc>
          <w:tcPr>
            <w:tcW w:w="2245" w:type="dxa"/>
          </w:tcPr>
          <w:p w14:paraId="46E2FF21" w14:textId="77777777" w:rsidR="006669A8" w:rsidRDefault="00840D9B" w:rsidP="006669A8">
            <w:pPr>
              <w:rPr>
                <w:b/>
                <w:sz w:val="24"/>
              </w:rPr>
            </w:pPr>
            <w:r>
              <w:rPr>
                <w:b/>
                <w:sz w:val="24"/>
              </w:rPr>
              <w:t>Category 4</w:t>
            </w:r>
          </w:p>
          <w:p w14:paraId="0D6268FC" w14:textId="77777777" w:rsidR="00840D9B" w:rsidRPr="00B71EB1" w:rsidRDefault="00840D9B" w:rsidP="006669A8">
            <w:pPr>
              <w:rPr>
                <w:b/>
                <w:sz w:val="24"/>
              </w:rPr>
            </w:pPr>
            <w:r>
              <w:rPr>
                <w:b/>
                <w:sz w:val="24"/>
              </w:rPr>
              <w:t>Data Research</w:t>
            </w:r>
          </w:p>
        </w:tc>
        <w:tc>
          <w:tcPr>
            <w:tcW w:w="3960" w:type="dxa"/>
          </w:tcPr>
          <w:p w14:paraId="136256C7" w14:textId="77777777" w:rsidR="006669A8" w:rsidRPr="00840D9B" w:rsidRDefault="00840D9B" w:rsidP="00840D9B">
            <w:pPr>
              <w:rPr>
                <w:rFonts w:cstheme="minorHAnsi"/>
                <w:sz w:val="24"/>
                <w:szCs w:val="24"/>
              </w:rPr>
            </w:pPr>
            <w:r w:rsidRPr="00840D9B">
              <w:rPr>
                <w:rFonts w:cstheme="minorHAnsi"/>
                <w:color w:val="000000"/>
                <w:sz w:val="24"/>
                <w:szCs w:val="24"/>
                <w:shd w:val="clear" w:color="auto" w:fill="FFFFFF"/>
              </w:rPr>
              <w:t>(4)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tc>
        <w:tc>
          <w:tcPr>
            <w:tcW w:w="4140" w:type="dxa"/>
          </w:tcPr>
          <w:p w14:paraId="3EA7D1DB" w14:textId="77777777" w:rsidR="006669A8" w:rsidRDefault="006669A8" w:rsidP="00194148">
            <w:pPr>
              <w:pStyle w:val="NormalWeb"/>
              <w:shd w:val="clear" w:color="auto" w:fill="FFFFFF"/>
              <w:spacing w:before="0" w:beforeAutospacing="0" w:after="0" w:afterAutospacing="0"/>
              <w:rPr>
                <w:rFonts w:asciiTheme="minorHAnsi" w:hAnsiTheme="minorHAnsi" w:cstheme="minorHAnsi"/>
                <w:color w:val="000000"/>
              </w:rPr>
            </w:pPr>
            <w:r w:rsidRPr="00544BA2">
              <w:rPr>
                <w:rFonts w:asciiTheme="minorHAnsi" w:hAnsiTheme="minorHAnsi" w:cstheme="minorHAnsi"/>
                <w:color w:val="000000"/>
              </w:rPr>
              <w:t>(4) Secondary research for which consent is not required: Secondary research uses of identifiable private information or identifiable biospecimens, if at least one of the following criteria is met:</w:t>
            </w:r>
          </w:p>
          <w:p w14:paraId="472A95ED" w14:textId="77777777" w:rsidR="00194148" w:rsidRPr="00544BA2" w:rsidRDefault="00194148" w:rsidP="00194148">
            <w:pPr>
              <w:pStyle w:val="NormalWeb"/>
              <w:shd w:val="clear" w:color="auto" w:fill="FFFFFF"/>
              <w:spacing w:before="0" w:beforeAutospacing="0" w:after="0" w:afterAutospacing="0"/>
              <w:rPr>
                <w:rFonts w:asciiTheme="minorHAnsi" w:hAnsiTheme="minorHAnsi" w:cstheme="minorHAnsi"/>
                <w:color w:val="000000"/>
              </w:rPr>
            </w:pPr>
          </w:p>
          <w:p w14:paraId="47C676FE" w14:textId="77777777" w:rsidR="006669A8" w:rsidRDefault="006669A8" w:rsidP="00194148">
            <w:pPr>
              <w:pStyle w:val="NormalWeb"/>
              <w:numPr>
                <w:ilvl w:val="0"/>
                <w:numId w:val="12"/>
              </w:numPr>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 xml:space="preserve">The </w:t>
            </w:r>
            <w:r w:rsidRPr="00840D9B">
              <w:rPr>
                <w:rFonts w:asciiTheme="minorHAnsi" w:hAnsiTheme="minorHAnsi" w:cstheme="minorHAnsi"/>
                <w:i/>
                <w:color w:val="C00000"/>
              </w:rPr>
              <w:t>identifiable private information</w:t>
            </w:r>
            <w:r w:rsidRPr="00544BA2">
              <w:rPr>
                <w:rFonts w:asciiTheme="minorHAnsi" w:hAnsiTheme="minorHAnsi" w:cstheme="minorHAnsi"/>
                <w:color w:val="000000"/>
              </w:rPr>
              <w:t xml:space="preserve"> </w:t>
            </w:r>
            <w:r w:rsidRPr="00840D9B">
              <w:rPr>
                <w:rFonts w:asciiTheme="minorHAnsi" w:hAnsiTheme="minorHAnsi" w:cstheme="minorHAnsi"/>
                <w:i/>
                <w:color w:val="C00000"/>
              </w:rPr>
              <w:t>or identifiable biospecimens</w:t>
            </w:r>
            <w:r w:rsidRPr="00544BA2">
              <w:rPr>
                <w:rFonts w:asciiTheme="minorHAnsi" w:hAnsiTheme="minorHAnsi" w:cstheme="minorHAnsi"/>
                <w:color w:val="000000"/>
              </w:rPr>
              <w:t xml:space="preserve"> are publicly available;</w:t>
            </w:r>
          </w:p>
          <w:p w14:paraId="23CFDC92" w14:textId="77777777" w:rsidR="00194148" w:rsidRPr="00544BA2" w:rsidRDefault="00194148" w:rsidP="00194148">
            <w:pPr>
              <w:pStyle w:val="NormalWeb"/>
              <w:shd w:val="clear" w:color="auto" w:fill="FFFFFF"/>
              <w:spacing w:before="0" w:beforeAutospacing="0" w:after="0" w:afterAutospacing="0"/>
              <w:ind w:left="360" w:hanging="360"/>
              <w:rPr>
                <w:rFonts w:asciiTheme="minorHAnsi" w:hAnsiTheme="minorHAnsi" w:cstheme="minorHAnsi"/>
                <w:color w:val="000000"/>
              </w:rPr>
            </w:pPr>
          </w:p>
          <w:p w14:paraId="784D8EE6" w14:textId="77777777" w:rsidR="006669A8" w:rsidRDefault="006669A8" w:rsidP="00194148">
            <w:pPr>
              <w:pStyle w:val="NormalWeb"/>
              <w:numPr>
                <w:ilvl w:val="0"/>
                <w:numId w:val="12"/>
              </w:numPr>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527000CB" w14:textId="77777777" w:rsidR="00194148" w:rsidRPr="00544BA2" w:rsidRDefault="00194148" w:rsidP="00194148">
            <w:pPr>
              <w:pStyle w:val="NormalWeb"/>
              <w:shd w:val="clear" w:color="auto" w:fill="FFFFFF"/>
              <w:spacing w:before="0" w:beforeAutospacing="0" w:after="0" w:afterAutospacing="0"/>
              <w:ind w:left="360" w:hanging="360"/>
              <w:rPr>
                <w:rFonts w:asciiTheme="minorHAnsi" w:hAnsiTheme="minorHAnsi" w:cstheme="minorHAnsi"/>
                <w:color w:val="000000"/>
              </w:rPr>
            </w:pPr>
          </w:p>
          <w:p w14:paraId="2DDB53AC" w14:textId="77777777" w:rsidR="006669A8" w:rsidRDefault="006669A8" w:rsidP="00194148">
            <w:pPr>
              <w:pStyle w:val="NormalWeb"/>
              <w:numPr>
                <w:ilvl w:val="0"/>
                <w:numId w:val="12"/>
              </w:numPr>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 xml:space="preserve">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w:t>
            </w:r>
            <w:r w:rsidRPr="00544BA2">
              <w:rPr>
                <w:rFonts w:asciiTheme="minorHAnsi" w:hAnsiTheme="minorHAnsi" w:cstheme="minorHAnsi"/>
                <w:color w:val="000000"/>
              </w:rPr>
              <w:lastRenderedPageBreak/>
              <w:t>activities and purposes” as described under 45 CFR 164.512(b); or</w:t>
            </w:r>
          </w:p>
          <w:p w14:paraId="5225C4DA" w14:textId="77777777" w:rsidR="00194148" w:rsidRPr="00544BA2" w:rsidRDefault="00194148" w:rsidP="00194148">
            <w:pPr>
              <w:pStyle w:val="NormalWeb"/>
              <w:shd w:val="clear" w:color="auto" w:fill="FFFFFF"/>
              <w:spacing w:before="0" w:beforeAutospacing="0" w:after="0" w:afterAutospacing="0"/>
              <w:ind w:left="360" w:hanging="360"/>
              <w:rPr>
                <w:rFonts w:asciiTheme="minorHAnsi" w:hAnsiTheme="minorHAnsi" w:cstheme="minorHAnsi"/>
                <w:color w:val="000000"/>
              </w:rPr>
            </w:pPr>
          </w:p>
          <w:p w14:paraId="0DFDB118" w14:textId="77777777" w:rsidR="006669A8" w:rsidRPr="00544BA2" w:rsidRDefault="006669A8" w:rsidP="00194148">
            <w:pPr>
              <w:pStyle w:val="NormalWeb"/>
              <w:numPr>
                <w:ilvl w:val="0"/>
                <w:numId w:val="12"/>
              </w:numPr>
              <w:shd w:val="clear" w:color="auto" w:fill="FFFFFF"/>
              <w:spacing w:before="0" w:beforeAutospacing="0" w:after="0" w:afterAutospacing="0"/>
              <w:ind w:left="360" w:hanging="360"/>
              <w:rPr>
                <w:rFonts w:asciiTheme="minorHAnsi" w:hAnsiTheme="minorHAnsi" w:cstheme="minorHAnsi"/>
                <w:color w:val="000000"/>
              </w:rPr>
            </w:pPr>
            <w:r w:rsidRPr="00544BA2">
              <w:rPr>
                <w:rFonts w:asciiTheme="minorHAnsi" w:hAnsiTheme="minorHAnsi" w:cstheme="minorHAnsi"/>
                <w:color w:val="000000"/>
              </w:rPr>
              <w:t xml:space="preserve">The research is conducted by, or on behalf of, a Federal department or agency using government-generated or government-collected information obtained for </w:t>
            </w:r>
            <w:proofErr w:type="spellStart"/>
            <w:r w:rsidRPr="00544BA2">
              <w:rPr>
                <w:rFonts w:asciiTheme="minorHAnsi" w:hAnsiTheme="minorHAnsi" w:cstheme="minorHAnsi"/>
                <w:color w:val="000000"/>
              </w:rPr>
              <w:t>nonresearch</w:t>
            </w:r>
            <w:proofErr w:type="spellEnd"/>
            <w:r w:rsidRPr="00544BA2">
              <w:rPr>
                <w:rFonts w:asciiTheme="minorHAnsi" w:hAnsiTheme="minorHAnsi" w:cstheme="minorHAnsi"/>
                <w:color w:val="000000"/>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r w:rsidRPr="00544BA2">
              <w:rPr>
                <w:rFonts w:asciiTheme="minorHAnsi" w:hAnsiTheme="minorHAnsi" w:cstheme="minorHAnsi"/>
                <w:i/>
                <w:iCs/>
                <w:color w:val="000000"/>
              </w:rPr>
              <w:t>et seq.</w:t>
            </w:r>
          </w:p>
        </w:tc>
        <w:tc>
          <w:tcPr>
            <w:tcW w:w="3780" w:type="dxa"/>
          </w:tcPr>
          <w:p w14:paraId="587FADA6" w14:textId="77777777" w:rsidR="006669A8" w:rsidRDefault="00544BA2" w:rsidP="006669A8">
            <w:pPr>
              <w:rPr>
                <w:sz w:val="24"/>
              </w:rPr>
            </w:pPr>
            <w:r>
              <w:rPr>
                <w:sz w:val="24"/>
              </w:rPr>
              <w:lastRenderedPageBreak/>
              <w:t>This section is largely rewritten as it now allows for both retrospective and prospective data collection and also now allows for private identifiable data or biospecimens to be utilized (limited review required).</w:t>
            </w:r>
            <w:r>
              <w:rPr>
                <w:sz w:val="24"/>
              </w:rPr>
              <w:br/>
            </w:r>
          </w:p>
          <w:p w14:paraId="3535A188" w14:textId="77777777" w:rsidR="00544BA2" w:rsidRDefault="00544BA2" w:rsidP="00840D9B">
            <w:pPr>
              <w:pStyle w:val="ListParagraph"/>
              <w:numPr>
                <w:ilvl w:val="0"/>
                <w:numId w:val="2"/>
              </w:numPr>
              <w:ind w:left="360" w:hanging="360"/>
              <w:rPr>
                <w:sz w:val="24"/>
              </w:rPr>
            </w:pPr>
            <w:r>
              <w:rPr>
                <w:sz w:val="24"/>
              </w:rPr>
              <w:t>Allows for identifiable data</w:t>
            </w:r>
          </w:p>
          <w:p w14:paraId="6582AB48" w14:textId="77777777" w:rsidR="00544BA2" w:rsidRDefault="00544BA2" w:rsidP="00840D9B">
            <w:pPr>
              <w:ind w:left="360" w:hanging="360"/>
              <w:rPr>
                <w:sz w:val="24"/>
              </w:rPr>
            </w:pPr>
          </w:p>
          <w:p w14:paraId="60F1D0EE" w14:textId="77777777" w:rsidR="00544BA2" w:rsidRDefault="00544BA2" w:rsidP="00840D9B">
            <w:pPr>
              <w:ind w:left="360" w:hanging="360"/>
              <w:rPr>
                <w:sz w:val="24"/>
              </w:rPr>
            </w:pPr>
          </w:p>
          <w:p w14:paraId="37E92A41" w14:textId="77777777" w:rsidR="00840D9B" w:rsidRDefault="00840D9B" w:rsidP="00840D9B">
            <w:pPr>
              <w:ind w:left="360" w:hanging="360"/>
              <w:rPr>
                <w:sz w:val="24"/>
              </w:rPr>
            </w:pPr>
          </w:p>
          <w:p w14:paraId="0706D9C1" w14:textId="77777777" w:rsidR="00544BA2" w:rsidRDefault="003E30D9" w:rsidP="00840D9B">
            <w:pPr>
              <w:pStyle w:val="ListParagraph"/>
              <w:numPr>
                <w:ilvl w:val="0"/>
                <w:numId w:val="2"/>
              </w:numPr>
              <w:ind w:left="360" w:hanging="360"/>
              <w:rPr>
                <w:sz w:val="24"/>
              </w:rPr>
            </w:pPr>
            <w:r>
              <w:rPr>
                <w:sz w:val="24"/>
              </w:rPr>
              <w:t>Similar wording as before, but includes biospecimens</w:t>
            </w:r>
          </w:p>
          <w:p w14:paraId="2CDC884C" w14:textId="77777777" w:rsidR="00544BA2" w:rsidRDefault="00544BA2" w:rsidP="00544BA2">
            <w:pPr>
              <w:rPr>
                <w:sz w:val="24"/>
              </w:rPr>
            </w:pPr>
          </w:p>
          <w:p w14:paraId="23659484" w14:textId="77777777" w:rsidR="00544BA2" w:rsidRDefault="00544BA2" w:rsidP="00544BA2">
            <w:pPr>
              <w:rPr>
                <w:sz w:val="24"/>
              </w:rPr>
            </w:pPr>
          </w:p>
          <w:p w14:paraId="0AFF5BAE" w14:textId="77777777" w:rsidR="00544BA2" w:rsidRDefault="00544BA2" w:rsidP="00544BA2">
            <w:pPr>
              <w:rPr>
                <w:sz w:val="24"/>
              </w:rPr>
            </w:pPr>
          </w:p>
          <w:p w14:paraId="016CDFE2" w14:textId="77777777" w:rsidR="00544BA2" w:rsidRDefault="00544BA2" w:rsidP="00544BA2">
            <w:pPr>
              <w:rPr>
                <w:sz w:val="24"/>
              </w:rPr>
            </w:pPr>
          </w:p>
          <w:p w14:paraId="48D58105" w14:textId="77777777" w:rsidR="00544BA2" w:rsidRDefault="00544BA2" w:rsidP="00544BA2">
            <w:pPr>
              <w:rPr>
                <w:sz w:val="24"/>
              </w:rPr>
            </w:pPr>
          </w:p>
          <w:p w14:paraId="41C38531" w14:textId="77777777" w:rsidR="00544BA2" w:rsidRDefault="00544BA2" w:rsidP="00544BA2">
            <w:pPr>
              <w:rPr>
                <w:sz w:val="24"/>
              </w:rPr>
            </w:pPr>
          </w:p>
          <w:p w14:paraId="04D98F15" w14:textId="77777777" w:rsidR="00544BA2" w:rsidRDefault="00544BA2" w:rsidP="00544BA2">
            <w:pPr>
              <w:rPr>
                <w:sz w:val="24"/>
              </w:rPr>
            </w:pPr>
          </w:p>
          <w:p w14:paraId="2952C9C9" w14:textId="77777777" w:rsidR="00544BA2" w:rsidRDefault="00544BA2" w:rsidP="00544BA2">
            <w:pPr>
              <w:rPr>
                <w:sz w:val="24"/>
              </w:rPr>
            </w:pPr>
          </w:p>
          <w:p w14:paraId="6813DD7D" w14:textId="77777777" w:rsidR="00544BA2" w:rsidRDefault="00544BA2" w:rsidP="00544BA2">
            <w:pPr>
              <w:rPr>
                <w:sz w:val="24"/>
              </w:rPr>
            </w:pPr>
          </w:p>
          <w:p w14:paraId="5D24EA76" w14:textId="77777777" w:rsidR="00544BA2" w:rsidRDefault="00840D9B" w:rsidP="00840D9B">
            <w:pPr>
              <w:pStyle w:val="ListParagraph"/>
              <w:numPr>
                <w:ilvl w:val="0"/>
                <w:numId w:val="2"/>
              </w:numPr>
              <w:ind w:left="360" w:hanging="360"/>
              <w:rPr>
                <w:sz w:val="24"/>
              </w:rPr>
            </w:pPr>
            <w:r>
              <w:rPr>
                <w:sz w:val="24"/>
              </w:rPr>
              <w:t>New</w:t>
            </w:r>
            <w:r w:rsidR="00194148">
              <w:rPr>
                <w:sz w:val="24"/>
              </w:rPr>
              <w:t xml:space="preserve"> – Allows for identifiable private health information as long as it is covered by HIPAA regulations</w:t>
            </w:r>
          </w:p>
          <w:p w14:paraId="6C4399D7" w14:textId="77777777" w:rsidR="00840D9B" w:rsidRDefault="00840D9B" w:rsidP="00840D9B">
            <w:pPr>
              <w:ind w:left="360" w:hanging="360"/>
              <w:rPr>
                <w:sz w:val="24"/>
              </w:rPr>
            </w:pPr>
          </w:p>
          <w:p w14:paraId="7871B94C" w14:textId="77777777" w:rsidR="00840D9B" w:rsidRDefault="00840D9B" w:rsidP="00840D9B">
            <w:pPr>
              <w:ind w:left="360" w:hanging="360"/>
              <w:rPr>
                <w:sz w:val="24"/>
              </w:rPr>
            </w:pPr>
          </w:p>
          <w:p w14:paraId="3DDEA3E7" w14:textId="77777777" w:rsidR="00840D9B" w:rsidRDefault="00840D9B" w:rsidP="00840D9B">
            <w:pPr>
              <w:ind w:left="360" w:hanging="360"/>
              <w:rPr>
                <w:sz w:val="24"/>
              </w:rPr>
            </w:pPr>
          </w:p>
          <w:p w14:paraId="2142A22C" w14:textId="77777777" w:rsidR="00840D9B" w:rsidRDefault="00840D9B" w:rsidP="00840D9B">
            <w:pPr>
              <w:ind w:left="360" w:hanging="360"/>
              <w:rPr>
                <w:sz w:val="24"/>
              </w:rPr>
            </w:pPr>
          </w:p>
          <w:p w14:paraId="14542FE1" w14:textId="77777777" w:rsidR="00840D9B" w:rsidRDefault="00840D9B" w:rsidP="00840D9B">
            <w:pPr>
              <w:ind w:left="360" w:hanging="360"/>
              <w:rPr>
                <w:sz w:val="24"/>
              </w:rPr>
            </w:pPr>
          </w:p>
          <w:p w14:paraId="7CBD7F8F" w14:textId="77777777" w:rsidR="00840D9B" w:rsidRDefault="00840D9B" w:rsidP="00840D9B">
            <w:pPr>
              <w:ind w:left="360" w:hanging="360"/>
              <w:rPr>
                <w:sz w:val="24"/>
              </w:rPr>
            </w:pPr>
          </w:p>
          <w:p w14:paraId="0CD39354" w14:textId="77777777" w:rsidR="00840D9B" w:rsidRDefault="00840D9B" w:rsidP="00840D9B">
            <w:pPr>
              <w:ind w:left="360" w:hanging="360"/>
              <w:rPr>
                <w:sz w:val="24"/>
              </w:rPr>
            </w:pPr>
          </w:p>
          <w:p w14:paraId="2BC7B317" w14:textId="77777777" w:rsidR="00840D9B" w:rsidRDefault="00840D9B" w:rsidP="00840D9B">
            <w:pPr>
              <w:ind w:left="360" w:hanging="360"/>
              <w:rPr>
                <w:sz w:val="24"/>
              </w:rPr>
            </w:pPr>
          </w:p>
          <w:p w14:paraId="272E4E53" w14:textId="77777777" w:rsidR="00840D9B" w:rsidRDefault="00840D9B" w:rsidP="00840D9B">
            <w:pPr>
              <w:ind w:left="360" w:hanging="360"/>
              <w:rPr>
                <w:sz w:val="24"/>
              </w:rPr>
            </w:pPr>
          </w:p>
          <w:p w14:paraId="367F9F3E" w14:textId="77777777" w:rsidR="00840D9B" w:rsidRPr="00840D9B" w:rsidRDefault="00840D9B" w:rsidP="00840D9B">
            <w:pPr>
              <w:ind w:left="360" w:hanging="360"/>
              <w:rPr>
                <w:sz w:val="24"/>
              </w:rPr>
            </w:pPr>
          </w:p>
          <w:p w14:paraId="590CE63D" w14:textId="77777777" w:rsidR="00840D9B" w:rsidRDefault="00840D9B" w:rsidP="00840D9B">
            <w:pPr>
              <w:pStyle w:val="ListParagraph"/>
              <w:numPr>
                <w:ilvl w:val="0"/>
                <w:numId w:val="2"/>
              </w:numPr>
              <w:ind w:left="360" w:hanging="360"/>
              <w:rPr>
                <w:sz w:val="24"/>
              </w:rPr>
            </w:pPr>
            <w:r>
              <w:rPr>
                <w:sz w:val="24"/>
              </w:rPr>
              <w:t>New</w:t>
            </w:r>
          </w:p>
          <w:p w14:paraId="5EE98E65" w14:textId="77777777" w:rsidR="00840D9B" w:rsidRDefault="00840D9B" w:rsidP="00840D9B">
            <w:pPr>
              <w:ind w:left="360" w:hanging="360"/>
              <w:rPr>
                <w:sz w:val="24"/>
              </w:rPr>
            </w:pPr>
          </w:p>
          <w:p w14:paraId="4108A989" w14:textId="77777777" w:rsidR="00840D9B" w:rsidRDefault="00840D9B" w:rsidP="00840D9B">
            <w:pPr>
              <w:rPr>
                <w:sz w:val="24"/>
              </w:rPr>
            </w:pPr>
          </w:p>
          <w:p w14:paraId="045CB561" w14:textId="77777777" w:rsidR="00840D9B" w:rsidRDefault="00840D9B" w:rsidP="00840D9B">
            <w:pPr>
              <w:rPr>
                <w:sz w:val="24"/>
              </w:rPr>
            </w:pPr>
          </w:p>
          <w:p w14:paraId="73A6FE16" w14:textId="77777777" w:rsidR="00840D9B" w:rsidRDefault="00840D9B" w:rsidP="00840D9B">
            <w:pPr>
              <w:rPr>
                <w:sz w:val="24"/>
              </w:rPr>
            </w:pPr>
          </w:p>
          <w:p w14:paraId="686E8681" w14:textId="77777777" w:rsidR="00840D9B" w:rsidRDefault="00840D9B" w:rsidP="00840D9B">
            <w:pPr>
              <w:rPr>
                <w:sz w:val="24"/>
              </w:rPr>
            </w:pPr>
          </w:p>
          <w:p w14:paraId="732AEE15" w14:textId="77777777" w:rsidR="00840D9B" w:rsidRDefault="00840D9B" w:rsidP="00840D9B">
            <w:pPr>
              <w:rPr>
                <w:sz w:val="24"/>
              </w:rPr>
            </w:pPr>
          </w:p>
          <w:p w14:paraId="50FC990F" w14:textId="77777777" w:rsidR="00840D9B" w:rsidRDefault="00840D9B" w:rsidP="00840D9B">
            <w:pPr>
              <w:rPr>
                <w:sz w:val="24"/>
              </w:rPr>
            </w:pPr>
          </w:p>
          <w:p w14:paraId="0588B0FD" w14:textId="77777777" w:rsidR="00840D9B" w:rsidRPr="00840D9B" w:rsidRDefault="00840D9B" w:rsidP="00840D9B">
            <w:pPr>
              <w:rPr>
                <w:sz w:val="24"/>
              </w:rPr>
            </w:pPr>
          </w:p>
        </w:tc>
      </w:tr>
      <w:tr w:rsidR="006669A8" w:rsidRPr="00386633" w14:paraId="773CDAC3" w14:textId="77777777" w:rsidTr="00386633">
        <w:tc>
          <w:tcPr>
            <w:tcW w:w="2245" w:type="dxa"/>
          </w:tcPr>
          <w:p w14:paraId="13EEEB0B" w14:textId="77777777" w:rsidR="006669A8" w:rsidRDefault="00840D9B" w:rsidP="006669A8">
            <w:pPr>
              <w:rPr>
                <w:b/>
                <w:sz w:val="24"/>
              </w:rPr>
            </w:pPr>
            <w:r>
              <w:rPr>
                <w:b/>
                <w:sz w:val="24"/>
              </w:rPr>
              <w:lastRenderedPageBreak/>
              <w:t>Category 5</w:t>
            </w:r>
          </w:p>
          <w:p w14:paraId="4FBBBA58" w14:textId="77777777" w:rsidR="00840D9B" w:rsidRPr="00B71EB1" w:rsidRDefault="00840D9B" w:rsidP="006669A8">
            <w:pPr>
              <w:rPr>
                <w:b/>
                <w:sz w:val="24"/>
              </w:rPr>
            </w:pPr>
            <w:r>
              <w:rPr>
                <w:b/>
                <w:sz w:val="24"/>
              </w:rPr>
              <w:t>Research and Demonstration Projects</w:t>
            </w:r>
          </w:p>
        </w:tc>
        <w:tc>
          <w:tcPr>
            <w:tcW w:w="3960" w:type="dxa"/>
          </w:tcPr>
          <w:p w14:paraId="6FE8A865" w14:textId="77777777" w:rsidR="00840D9B" w:rsidRPr="00840D9B" w:rsidRDefault="00840D9B" w:rsidP="00840D9B">
            <w:pPr>
              <w:rPr>
                <w:rStyle w:val="grame"/>
                <w:rFonts w:cstheme="minorHAnsi"/>
                <w:color w:val="000000"/>
                <w:sz w:val="24"/>
                <w:szCs w:val="24"/>
                <w:shd w:val="clear" w:color="auto" w:fill="FFFFFF"/>
              </w:rPr>
            </w:pPr>
            <w:r w:rsidRPr="00840D9B">
              <w:rPr>
                <w:rFonts w:cstheme="minorHAnsi"/>
                <w:color w:val="000000"/>
                <w:sz w:val="24"/>
                <w:szCs w:val="24"/>
                <w:shd w:val="clear" w:color="auto" w:fill="FFFFFF"/>
              </w:rPr>
              <w:t>(5) Research and demonstration projects which are conducted by or subject to the approval of department or agency heads, and which are designed to study, evaluate, or otherwise examine</w:t>
            </w:r>
            <w:r w:rsidRPr="00840D9B">
              <w:rPr>
                <w:rStyle w:val="grame"/>
                <w:rFonts w:cstheme="minorHAnsi"/>
                <w:color w:val="000000"/>
                <w:sz w:val="24"/>
                <w:szCs w:val="24"/>
                <w:shd w:val="clear" w:color="auto" w:fill="FFFFFF"/>
              </w:rPr>
              <w:t>:</w:t>
            </w:r>
          </w:p>
          <w:p w14:paraId="4B911025" w14:textId="77777777" w:rsidR="00840D9B" w:rsidRPr="00840D9B" w:rsidRDefault="00840D9B" w:rsidP="00840D9B">
            <w:pPr>
              <w:rPr>
                <w:rStyle w:val="grame"/>
                <w:rFonts w:cstheme="minorHAnsi"/>
                <w:color w:val="000000"/>
                <w:sz w:val="24"/>
                <w:szCs w:val="24"/>
                <w:shd w:val="clear" w:color="auto" w:fill="FFFFFF"/>
              </w:rPr>
            </w:pPr>
          </w:p>
          <w:p w14:paraId="1725332F" w14:textId="77777777" w:rsidR="00840D9B" w:rsidRPr="00840D9B" w:rsidRDefault="00840D9B" w:rsidP="00840D9B">
            <w:pPr>
              <w:pStyle w:val="ListParagraph"/>
              <w:numPr>
                <w:ilvl w:val="0"/>
                <w:numId w:val="7"/>
              </w:numPr>
              <w:ind w:left="360" w:hanging="360"/>
              <w:rPr>
                <w:rFonts w:cstheme="minorHAnsi"/>
                <w:color w:val="000000"/>
                <w:sz w:val="24"/>
                <w:szCs w:val="24"/>
                <w:shd w:val="clear" w:color="auto" w:fill="FFFFFF"/>
              </w:rPr>
            </w:pPr>
            <w:r w:rsidRPr="00840D9B">
              <w:rPr>
                <w:rFonts w:cstheme="minorHAnsi"/>
                <w:color w:val="000000"/>
                <w:sz w:val="24"/>
                <w:szCs w:val="24"/>
                <w:shd w:val="clear" w:color="auto" w:fill="FFFFFF"/>
              </w:rPr>
              <w:t>Public benefit or service programs;</w:t>
            </w:r>
          </w:p>
          <w:p w14:paraId="09296074" w14:textId="77777777" w:rsidR="00840D9B" w:rsidRPr="00840D9B" w:rsidRDefault="00840D9B" w:rsidP="00840D9B">
            <w:pPr>
              <w:ind w:left="360" w:hanging="360"/>
              <w:rPr>
                <w:rFonts w:cstheme="minorHAnsi"/>
                <w:color w:val="000000"/>
                <w:sz w:val="24"/>
                <w:szCs w:val="24"/>
                <w:shd w:val="clear" w:color="auto" w:fill="FFFFFF"/>
              </w:rPr>
            </w:pPr>
          </w:p>
          <w:p w14:paraId="1365F578" w14:textId="77777777" w:rsidR="00840D9B" w:rsidRPr="00840D9B" w:rsidRDefault="00840D9B" w:rsidP="00840D9B">
            <w:pPr>
              <w:pStyle w:val="ListParagraph"/>
              <w:numPr>
                <w:ilvl w:val="0"/>
                <w:numId w:val="7"/>
              </w:numPr>
              <w:ind w:left="360" w:hanging="360"/>
              <w:rPr>
                <w:rFonts w:cstheme="minorHAnsi"/>
                <w:color w:val="000000"/>
                <w:sz w:val="24"/>
                <w:szCs w:val="24"/>
                <w:shd w:val="clear" w:color="auto" w:fill="FFFFFF"/>
              </w:rPr>
            </w:pPr>
            <w:r w:rsidRPr="00840D9B">
              <w:rPr>
                <w:rFonts w:cstheme="minorHAnsi"/>
                <w:color w:val="000000"/>
                <w:sz w:val="24"/>
                <w:szCs w:val="24"/>
                <w:shd w:val="clear" w:color="auto" w:fill="FFFFFF"/>
              </w:rPr>
              <w:t xml:space="preserve">procedures for obtaining benefits or services under those programs; </w:t>
            </w:r>
          </w:p>
          <w:p w14:paraId="4986C054" w14:textId="77777777" w:rsidR="00840D9B" w:rsidRPr="00840D9B" w:rsidRDefault="00840D9B" w:rsidP="00840D9B">
            <w:pPr>
              <w:pStyle w:val="ListParagraph"/>
              <w:ind w:left="360" w:hanging="360"/>
              <w:rPr>
                <w:rFonts w:cstheme="minorHAnsi"/>
                <w:color w:val="000000"/>
                <w:sz w:val="24"/>
                <w:szCs w:val="24"/>
                <w:shd w:val="clear" w:color="auto" w:fill="FFFFFF"/>
              </w:rPr>
            </w:pPr>
          </w:p>
          <w:p w14:paraId="518D3825" w14:textId="77777777" w:rsidR="00840D9B" w:rsidRPr="00840D9B" w:rsidRDefault="00840D9B" w:rsidP="00840D9B">
            <w:pPr>
              <w:pStyle w:val="ListParagraph"/>
              <w:numPr>
                <w:ilvl w:val="0"/>
                <w:numId w:val="7"/>
              </w:numPr>
              <w:ind w:left="360" w:hanging="360"/>
              <w:rPr>
                <w:sz w:val="24"/>
              </w:rPr>
            </w:pPr>
            <w:r w:rsidRPr="00840D9B">
              <w:rPr>
                <w:rFonts w:cstheme="minorHAnsi"/>
                <w:color w:val="000000"/>
                <w:sz w:val="24"/>
                <w:szCs w:val="24"/>
                <w:shd w:val="clear" w:color="auto" w:fill="FFFFFF"/>
              </w:rPr>
              <w:t xml:space="preserve">possible changes in or alternatives to those programs or procedures; or </w:t>
            </w:r>
          </w:p>
          <w:p w14:paraId="31AFD748" w14:textId="77777777" w:rsidR="00840D9B" w:rsidRPr="00840D9B" w:rsidRDefault="00840D9B" w:rsidP="00840D9B">
            <w:pPr>
              <w:pStyle w:val="ListParagraph"/>
              <w:ind w:left="360" w:hanging="360"/>
              <w:rPr>
                <w:rFonts w:cstheme="minorHAnsi"/>
                <w:color w:val="000000"/>
                <w:sz w:val="24"/>
                <w:szCs w:val="24"/>
                <w:shd w:val="clear" w:color="auto" w:fill="FFFFFF"/>
              </w:rPr>
            </w:pPr>
          </w:p>
          <w:p w14:paraId="41E2B7F4" w14:textId="77777777" w:rsidR="006669A8" w:rsidRPr="00840D9B" w:rsidRDefault="00840D9B" w:rsidP="00840D9B">
            <w:pPr>
              <w:pStyle w:val="ListParagraph"/>
              <w:numPr>
                <w:ilvl w:val="0"/>
                <w:numId w:val="7"/>
              </w:numPr>
              <w:ind w:left="360" w:hanging="360"/>
              <w:rPr>
                <w:sz w:val="24"/>
              </w:rPr>
            </w:pPr>
            <w:proofErr w:type="gramStart"/>
            <w:r w:rsidRPr="00840D9B">
              <w:rPr>
                <w:rFonts w:cstheme="minorHAnsi"/>
                <w:color w:val="000000"/>
                <w:sz w:val="24"/>
                <w:szCs w:val="24"/>
                <w:shd w:val="clear" w:color="auto" w:fill="FFFFFF"/>
              </w:rPr>
              <w:t>possible</w:t>
            </w:r>
            <w:proofErr w:type="gramEnd"/>
            <w:r w:rsidRPr="00840D9B">
              <w:rPr>
                <w:rFonts w:cstheme="minorHAnsi"/>
                <w:color w:val="000000"/>
                <w:sz w:val="24"/>
                <w:szCs w:val="24"/>
                <w:shd w:val="clear" w:color="auto" w:fill="FFFFFF"/>
              </w:rPr>
              <w:t xml:space="preserve"> changes in methods or levels of payment for benefits or services under those programs.</w:t>
            </w:r>
          </w:p>
        </w:tc>
        <w:tc>
          <w:tcPr>
            <w:tcW w:w="4140" w:type="dxa"/>
          </w:tcPr>
          <w:p w14:paraId="31B7DA77" w14:textId="77777777" w:rsidR="006669A8" w:rsidRDefault="006669A8" w:rsidP="00840D9B">
            <w:pPr>
              <w:shd w:val="clear" w:color="auto" w:fill="FFFFFF"/>
              <w:rPr>
                <w:rFonts w:eastAsia="Times New Roman" w:cstheme="minorHAnsi"/>
                <w:i/>
                <w:color w:val="C00000"/>
                <w:sz w:val="24"/>
                <w:szCs w:val="24"/>
              </w:rPr>
            </w:pPr>
            <w:r w:rsidRPr="006669A8">
              <w:rPr>
                <w:rFonts w:eastAsia="Times New Roman" w:cstheme="minorHAnsi"/>
                <w:color w:val="000000"/>
                <w:sz w:val="24"/>
                <w:szCs w:val="24"/>
              </w:rPr>
              <w:t>(5) Research and demonstration projects that are conducted or supported by a</w:t>
            </w:r>
            <w:r w:rsidRPr="006669A8">
              <w:rPr>
                <w:rFonts w:eastAsia="Times New Roman" w:cstheme="minorHAnsi"/>
                <w:i/>
                <w:color w:val="C00000"/>
                <w:sz w:val="24"/>
                <w:szCs w:val="24"/>
              </w:rPr>
              <w:t xml:space="preserve"> Federal department or agency, or otherwise subject to the approval of department or agency heads (or the approval of the heads of bureaus or other subordinate agencies that have been delegated authority to conduct the research and demonstration projects), and </w:t>
            </w:r>
            <w:r w:rsidRPr="006669A8">
              <w:rPr>
                <w:rFonts w:eastAsia="Times New Roman" w:cstheme="minorHAnsi"/>
                <w:color w:val="000000"/>
                <w:sz w:val="24"/>
                <w:szCs w:val="24"/>
              </w:rPr>
              <w:t xml:space="preserve">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w:t>
            </w:r>
            <w:r w:rsidRPr="006669A8">
              <w:rPr>
                <w:rFonts w:eastAsia="Times New Roman" w:cstheme="minorHAnsi"/>
                <w:i/>
                <w:color w:val="C00000"/>
                <w:sz w:val="24"/>
                <w:szCs w:val="24"/>
              </w:rPr>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7544E45D" w14:textId="77777777" w:rsidR="00840D9B" w:rsidRPr="006669A8" w:rsidRDefault="00840D9B" w:rsidP="00840D9B">
            <w:pPr>
              <w:shd w:val="clear" w:color="auto" w:fill="FFFFFF"/>
              <w:rPr>
                <w:rFonts w:eastAsia="Times New Roman" w:cstheme="minorHAnsi"/>
                <w:sz w:val="24"/>
                <w:szCs w:val="24"/>
              </w:rPr>
            </w:pPr>
          </w:p>
          <w:p w14:paraId="6EF9BB85" w14:textId="77777777" w:rsidR="006669A8" w:rsidRPr="00194148" w:rsidRDefault="006669A8" w:rsidP="00840D9B">
            <w:pPr>
              <w:pStyle w:val="ListParagraph"/>
              <w:numPr>
                <w:ilvl w:val="0"/>
                <w:numId w:val="8"/>
              </w:numPr>
              <w:shd w:val="clear" w:color="auto" w:fill="FFFFFF"/>
              <w:ind w:left="360" w:hanging="360"/>
              <w:rPr>
                <w:rFonts w:eastAsia="Times New Roman" w:cstheme="minorHAnsi"/>
                <w:i/>
                <w:color w:val="C00000"/>
                <w:sz w:val="24"/>
                <w:szCs w:val="24"/>
              </w:rPr>
            </w:pPr>
            <w:r w:rsidRPr="00194148">
              <w:rPr>
                <w:rFonts w:eastAsia="Times New Roman" w:cstheme="minorHAnsi"/>
                <w:i/>
                <w:color w:val="C00000"/>
                <w:sz w:val="24"/>
                <w:szCs w:val="24"/>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7D9BC158" w14:textId="77777777" w:rsidR="00840D9B" w:rsidRPr="00194148" w:rsidRDefault="00840D9B" w:rsidP="00840D9B">
            <w:pPr>
              <w:shd w:val="clear" w:color="auto" w:fill="FFFFFF"/>
              <w:ind w:left="360" w:hanging="360"/>
              <w:rPr>
                <w:rFonts w:eastAsia="Times New Roman" w:cstheme="minorHAnsi"/>
                <w:i/>
                <w:color w:val="C00000"/>
                <w:sz w:val="24"/>
                <w:szCs w:val="24"/>
              </w:rPr>
            </w:pPr>
          </w:p>
          <w:p w14:paraId="5B5539B0" w14:textId="77777777" w:rsidR="006669A8" w:rsidRPr="00544BA2" w:rsidRDefault="006669A8" w:rsidP="00194148">
            <w:pPr>
              <w:shd w:val="clear" w:color="auto" w:fill="FFFFFF"/>
              <w:ind w:left="360" w:hanging="360"/>
              <w:rPr>
                <w:rFonts w:cstheme="minorHAnsi"/>
                <w:color w:val="000000"/>
                <w:sz w:val="24"/>
                <w:szCs w:val="24"/>
              </w:rPr>
            </w:pPr>
            <w:r w:rsidRPr="006669A8">
              <w:rPr>
                <w:rFonts w:eastAsia="Times New Roman" w:cstheme="minorHAnsi"/>
                <w:color w:val="000000"/>
                <w:sz w:val="24"/>
                <w:szCs w:val="24"/>
              </w:rPr>
              <w:t>(ii)</w:t>
            </w:r>
            <w:r w:rsidR="00840D9B">
              <w:rPr>
                <w:rFonts w:eastAsia="Times New Roman" w:cstheme="minorHAnsi"/>
                <w:color w:val="000000"/>
                <w:sz w:val="24"/>
                <w:szCs w:val="24"/>
              </w:rPr>
              <w:tab/>
            </w:r>
            <w:r w:rsidRPr="006669A8">
              <w:rPr>
                <w:rFonts w:eastAsia="Times New Roman" w:cstheme="minorHAnsi"/>
                <w:color w:val="000000"/>
                <w:sz w:val="24"/>
                <w:szCs w:val="24"/>
              </w:rPr>
              <w:t>[Reserved]</w:t>
            </w:r>
          </w:p>
        </w:tc>
        <w:tc>
          <w:tcPr>
            <w:tcW w:w="3780" w:type="dxa"/>
          </w:tcPr>
          <w:p w14:paraId="6F93045A" w14:textId="77777777" w:rsidR="006669A8" w:rsidRDefault="00194148" w:rsidP="006669A8">
            <w:pPr>
              <w:rPr>
                <w:sz w:val="24"/>
              </w:rPr>
            </w:pPr>
            <w:r>
              <w:rPr>
                <w:sz w:val="24"/>
              </w:rPr>
              <w:t>Clarifies which projects qualify</w:t>
            </w:r>
          </w:p>
          <w:p w14:paraId="761AF4B7" w14:textId="77777777" w:rsidR="00194148" w:rsidRDefault="00194148" w:rsidP="006669A8">
            <w:pPr>
              <w:rPr>
                <w:sz w:val="24"/>
              </w:rPr>
            </w:pPr>
          </w:p>
          <w:p w14:paraId="032B12C9" w14:textId="77777777" w:rsidR="00194148" w:rsidRDefault="00194148" w:rsidP="006669A8">
            <w:pPr>
              <w:rPr>
                <w:sz w:val="24"/>
              </w:rPr>
            </w:pPr>
          </w:p>
          <w:p w14:paraId="267C57B4" w14:textId="77777777" w:rsidR="00194148" w:rsidRDefault="00194148" w:rsidP="006669A8">
            <w:pPr>
              <w:rPr>
                <w:sz w:val="24"/>
              </w:rPr>
            </w:pPr>
          </w:p>
          <w:p w14:paraId="0B3D4E17" w14:textId="77777777" w:rsidR="00194148" w:rsidRDefault="00194148" w:rsidP="006669A8">
            <w:pPr>
              <w:rPr>
                <w:sz w:val="24"/>
              </w:rPr>
            </w:pPr>
          </w:p>
          <w:p w14:paraId="49E98D97" w14:textId="77777777" w:rsidR="00194148" w:rsidRDefault="00194148" w:rsidP="006669A8">
            <w:pPr>
              <w:rPr>
                <w:sz w:val="24"/>
              </w:rPr>
            </w:pPr>
          </w:p>
          <w:p w14:paraId="1FE9AD67" w14:textId="77777777" w:rsidR="00194148" w:rsidRDefault="00194148" w:rsidP="006669A8">
            <w:pPr>
              <w:rPr>
                <w:sz w:val="24"/>
              </w:rPr>
            </w:pPr>
          </w:p>
          <w:p w14:paraId="62AE1033" w14:textId="77777777" w:rsidR="00194148" w:rsidRDefault="00194148" w:rsidP="006669A8">
            <w:pPr>
              <w:rPr>
                <w:sz w:val="24"/>
              </w:rPr>
            </w:pPr>
          </w:p>
          <w:p w14:paraId="4AB04ED1" w14:textId="77777777" w:rsidR="00194148" w:rsidRDefault="00194148" w:rsidP="006669A8">
            <w:pPr>
              <w:rPr>
                <w:sz w:val="24"/>
              </w:rPr>
            </w:pPr>
          </w:p>
          <w:p w14:paraId="68CC7D0B" w14:textId="77777777" w:rsidR="00194148" w:rsidRDefault="00194148" w:rsidP="006669A8">
            <w:pPr>
              <w:rPr>
                <w:sz w:val="24"/>
              </w:rPr>
            </w:pPr>
          </w:p>
          <w:p w14:paraId="07E5F607" w14:textId="77777777" w:rsidR="00194148" w:rsidRDefault="00194148" w:rsidP="006669A8">
            <w:pPr>
              <w:rPr>
                <w:sz w:val="24"/>
              </w:rPr>
            </w:pPr>
          </w:p>
          <w:p w14:paraId="1C1C14A8" w14:textId="77777777" w:rsidR="00194148" w:rsidRDefault="00194148" w:rsidP="006669A8">
            <w:pPr>
              <w:rPr>
                <w:sz w:val="24"/>
              </w:rPr>
            </w:pPr>
          </w:p>
          <w:p w14:paraId="7C5127A7" w14:textId="77777777" w:rsidR="00194148" w:rsidRDefault="00194148" w:rsidP="006669A8">
            <w:pPr>
              <w:rPr>
                <w:sz w:val="24"/>
              </w:rPr>
            </w:pPr>
          </w:p>
          <w:p w14:paraId="506B1B77" w14:textId="77777777" w:rsidR="00194148" w:rsidRDefault="00194148" w:rsidP="006669A8">
            <w:pPr>
              <w:rPr>
                <w:sz w:val="24"/>
              </w:rPr>
            </w:pPr>
          </w:p>
          <w:p w14:paraId="3809905A" w14:textId="77777777" w:rsidR="00194148" w:rsidRDefault="00194148" w:rsidP="006669A8">
            <w:pPr>
              <w:rPr>
                <w:sz w:val="24"/>
              </w:rPr>
            </w:pPr>
          </w:p>
          <w:p w14:paraId="61F3AAA7" w14:textId="77777777" w:rsidR="00194148" w:rsidRDefault="00194148" w:rsidP="006669A8">
            <w:pPr>
              <w:rPr>
                <w:sz w:val="24"/>
              </w:rPr>
            </w:pPr>
          </w:p>
          <w:p w14:paraId="5BE6C054" w14:textId="77777777" w:rsidR="00194148" w:rsidRDefault="00194148" w:rsidP="006669A8">
            <w:pPr>
              <w:rPr>
                <w:sz w:val="24"/>
              </w:rPr>
            </w:pPr>
          </w:p>
          <w:p w14:paraId="3E6D336D" w14:textId="77777777" w:rsidR="00194148" w:rsidRDefault="00194148" w:rsidP="006669A8">
            <w:pPr>
              <w:rPr>
                <w:sz w:val="24"/>
              </w:rPr>
            </w:pPr>
          </w:p>
          <w:p w14:paraId="7E5ABF6D" w14:textId="77777777" w:rsidR="00194148" w:rsidRDefault="00194148" w:rsidP="006669A8">
            <w:pPr>
              <w:rPr>
                <w:sz w:val="24"/>
              </w:rPr>
            </w:pPr>
          </w:p>
          <w:p w14:paraId="7A6EA8D6" w14:textId="77777777" w:rsidR="00194148" w:rsidRDefault="00194148" w:rsidP="006669A8">
            <w:pPr>
              <w:rPr>
                <w:sz w:val="24"/>
              </w:rPr>
            </w:pPr>
          </w:p>
          <w:p w14:paraId="02501DD8" w14:textId="77777777" w:rsidR="00194148" w:rsidRDefault="00194148" w:rsidP="006669A8">
            <w:pPr>
              <w:rPr>
                <w:sz w:val="24"/>
              </w:rPr>
            </w:pPr>
          </w:p>
          <w:p w14:paraId="5695A3EF" w14:textId="77777777" w:rsidR="00194148" w:rsidRDefault="00194148" w:rsidP="006669A8">
            <w:pPr>
              <w:rPr>
                <w:sz w:val="24"/>
              </w:rPr>
            </w:pPr>
          </w:p>
          <w:p w14:paraId="45BEF812" w14:textId="77777777" w:rsidR="00194148" w:rsidRDefault="00194148" w:rsidP="006669A8">
            <w:pPr>
              <w:rPr>
                <w:sz w:val="24"/>
              </w:rPr>
            </w:pPr>
          </w:p>
          <w:p w14:paraId="4A3F98C4" w14:textId="77777777" w:rsidR="00194148" w:rsidRDefault="00194148" w:rsidP="006669A8">
            <w:pPr>
              <w:rPr>
                <w:sz w:val="24"/>
              </w:rPr>
            </w:pPr>
          </w:p>
          <w:p w14:paraId="04D462F6" w14:textId="77777777" w:rsidR="00194148" w:rsidRDefault="00194148" w:rsidP="006669A8">
            <w:pPr>
              <w:rPr>
                <w:sz w:val="24"/>
              </w:rPr>
            </w:pPr>
          </w:p>
          <w:p w14:paraId="62E51CFB" w14:textId="77777777" w:rsidR="00194148" w:rsidRDefault="00194148" w:rsidP="006669A8">
            <w:pPr>
              <w:rPr>
                <w:sz w:val="24"/>
              </w:rPr>
            </w:pPr>
          </w:p>
          <w:p w14:paraId="0A95AA12" w14:textId="77777777" w:rsidR="00194148" w:rsidRDefault="00194148" w:rsidP="006669A8">
            <w:pPr>
              <w:rPr>
                <w:sz w:val="24"/>
              </w:rPr>
            </w:pPr>
          </w:p>
          <w:p w14:paraId="2AAA22B2" w14:textId="77777777" w:rsidR="00194148" w:rsidRDefault="00194148" w:rsidP="006669A8">
            <w:pPr>
              <w:rPr>
                <w:sz w:val="24"/>
              </w:rPr>
            </w:pPr>
          </w:p>
          <w:p w14:paraId="5C01DC4E" w14:textId="77777777" w:rsidR="00194148" w:rsidRDefault="00194148" w:rsidP="006669A8">
            <w:pPr>
              <w:rPr>
                <w:sz w:val="24"/>
              </w:rPr>
            </w:pPr>
          </w:p>
          <w:p w14:paraId="4E6D8DC7" w14:textId="77777777" w:rsidR="00194148" w:rsidRDefault="00194148" w:rsidP="006669A8">
            <w:pPr>
              <w:rPr>
                <w:sz w:val="24"/>
              </w:rPr>
            </w:pPr>
          </w:p>
          <w:p w14:paraId="5BE4E548" w14:textId="77777777" w:rsidR="00194148" w:rsidRPr="00194148" w:rsidRDefault="00194148" w:rsidP="00194148">
            <w:pPr>
              <w:pStyle w:val="ListParagraph"/>
              <w:numPr>
                <w:ilvl w:val="0"/>
                <w:numId w:val="9"/>
              </w:numPr>
              <w:ind w:left="360" w:hanging="360"/>
              <w:rPr>
                <w:sz w:val="24"/>
              </w:rPr>
            </w:pPr>
            <w:r>
              <w:rPr>
                <w:sz w:val="24"/>
              </w:rPr>
              <w:t>Site is not yet identified by regulatory agencies</w:t>
            </w:r>
          </w:p>
        </w:tc>
      </w:tr>
      <w:tr w:rsidR="006669A8" w:rsidRPr="00386633" w14:paraId="436515F0" w14:textId="77777777" w:rsidTr="00386633">
        <w:tc>
          <w:tcPr>
            <w:tcW w:w="2245" w:type="dxa"/>
          </w:tcPr>
          <w:p w14:paraId="74A16259" w14:textId="77777777" w:rsidR="006669A8" w:rsidRDefault="00194148" w:rsidP="006669A8">
            <w:pPr>
              <w:rPr>
                <w:b/>
                <w:sz w:val="24"/>
              </w:rPr>
            </w:pPr>
            <w:r>
              <w:rPr>
                <w:b/>
                <w:sz w:val="24"/>
              </w:rPr>
              <w:t>Category 6</w:t>
            </w:r>
          </w:p>
          <w:p w14:paraId="6E46E5BE" w14:textId="77777777" w:rsidR="00194148" w:rsidRPr="00B71EB1" w:rsidRDefault="00194148" w:rsidP="006669A8">
            <w:pPr>
              <w:rPr>
                <w:b/>
                <w:sz w:val="24"/>
              </w:rPr>
            </w:pPr>
            <w:r>
              <w:rPr>
                <w:b/>
                <w:sz w:val="24"/>
              </w:rPr>
              <w:t>Taste and Food Quality</w:t>
            </w:r>
          </w:p>
        </w:tc>
        <w:tc>
          <w:tcPr>
            <w:tcW w:w="3960" w:type="dxa"/>
          </w:tcPr>
          <w:p w14:paraId="30E89C24" w14:textId="77777777" w:rsidR="00194148" w:rsidRDefault="00194148" w:rsidP="00194148">
            <w:pPr>
              <w:shd w:val="clear" w:color="auto" w:fill="FFFFFF"/>
              <w:rPr>
                <w:rFonts w:eastAsia="Times New Roman" w:cstheme="minorHAnsi"/>
                <w:color w:val="000000"/>
                <w:sz w:val="24"/>
                <w:szCs w:val="24"/>
              </w:rPr>
            </w:pPr>
            <w:r w:rsidRPr="006669A8">
              <w:rPr>
                <w:rFonts w:eastAsia="Times New Roman" w:cstheme="minorHAnsi"/>
                <w:color w:val="000000"/>
                <w:sz w:val="24"/>
                <w:szCs w:val="24"/>
              </w:rPr>
              <w:t>(6) Taste and food quality evaluation and consumer acceptance studies:</w:t>
            </w:r>
          </w:p>
          <w:p w14:paraId="66BADD21" w14:textId="77777777" w:rsidR="00194148" w:rsidRPr="006669A8" w:rsidRDefault="00194148" w:rsidP="00194148">
            <w:pPr>
              <w:shd w:val="clear" w:color="auto" w:fill="FFFFFF"/>
              <w:rPr>
                <w:rFonts w:eastAsia="Times New Roman" w:cstheme="minorHAnsi"/>
                <w:color w:val="000000"/>
                <w:sz w:val="24"/>
                <w:szCs w:val="24"/>
              </w:rPr>
            </w:pPr>
          </w:p>
          <w:p w14:paraId="29C222D7" w14:textId="77777777" w:rsidR="00194148" w:rsidRPr="00194148" w:rsidRDefault="00194148" w:rsidP="00194148">
            <w:pPr>
              <w:pStyle w:val="ListParagraph"/>
              <w:numPr>
                <w:ilvl w:val="0"/>
                <w:numId w:val="10"/>
              </w:numPr>
              <w:shd w:val="clear" w:color="auto" w:fill="FFFFFF"/>
              <w:ind w:left="360" w:hanging="360"/>
              <w:rPr>
                <w:rFonts w:eastAsia="Times New Roman" w:cstheme="minorHAnsi"/>
                <w:color w:val="000000"/>
                <w:sz w:val="24"/>
                <w:szCs w:val="24"/>
              </w:rPr>
            </w:pPr>
            <w:r w:rsidRPr="00194148">
              <w:rPr>
                <w:rFonts w:eastAsia="Times New Roman" w:cstheme="minorHAnsi"/>
                <w:color w:val="000000"/>
                <w:sz w:val="24"/>
                <w:szCs w:val="24"/>
              </w:rPr>
              <w:lastRenderedPageBreak/>
              <w:t>If wholesome foods without additives are consumed, or</w:t>
            </w:r>
          </w:p>
          <w:p w14:paraId="17BF6282" w14:textId="77777777" w:rsidR="00194148" w:rsidRPr="00194148" w:rsidRDefault="00194148" w:rsidP="00194148">
            <w:pPr>
              <w:pStyle w:val="ListParagraph"/>
              <w:shd w:val="clear" w:color="auto" w:fill="FFFFFF"/>
              <w:ind w:left="360" w:hanging="360"/>
              <w:rPr>
                <w:rFonts w:eastAsia="Times New Roman" w:cstheme="minorHAnsi"/>
                <w:color w:val="000000"/>
                <w:sz w:val="24"/>
                <w:szCs w:val="24"/>
              </w:rPr>
            </w:pPr>
          </w:p>
          <w:p w14:paraId="2432C4E2" w14:textId="77777777" w:rsidR="00194148" w:rsidRPr="006669A8" w:rsidRDefault="00194148" w:rsidP="00194148">
            <w:pPr>
              <w:shd w:val="clear" w:color="auto" w:fill="FFFFFF"/>
              <w:ind w:left="360" w:hanging="360"/>
              <w:rPr>
                <w:rFonts w:eastAsia="Times New Roman" w:cstheme="minorHAnsi"/>
                <w:color w:val="000000"/>
                <w:sz w:val="24"/>
                <w:szCs w:val="24"/>
              </w:rPr>
            </w:pPr>
            <w:r w:rsidRPr="006669A8">
              <w:rPr>
                <w:rFonts w:eastAsia="Times New Roman" w:cstheme="minorHAnsi"/>
                <w:color w:val="000000"/>
                <w:sz w:val="24"/>
                <w:szCs w:val="24"/>
              </w:rPr>
              <w:t>(ii)</w:t>
            </w:r>
            <w:r>
              <w:rPr>
                <w:rFonts w:eastAsia="Times New Roman" w:cstheme="minorHAnsi"/>
                <w:color w:val="000000"/>
                <w:sz w:val="24"/>
                <w:szCs w:val="24"/>
              </w:rPr>
              <w:tab/>
            </w:r>
            <w:r w:rsidRPr="006669A8">
              <w:rPr>
                <w:rFonts w:eastAsia="Times New Roman" w:cstheme="minorHAnsi"/>
                <w:color w:val="000000"/>
                <w:sz w:val="24"/>
                <w:szCs w:val="24"/>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4AB7D9A8" w14:textId="77777777" w:rsidR="006669A8" w:rsidRPr="00386633" w:rsidRDefault="006669A8" w:rsidP="006669A8">
            <w:pPr>
              <w:rPr>
                <w:sz w:val="24"/>
              </w:rPr>
            </w:pPr>
          </w:p>
        </w:tc>
        <w:tc>
          <w:tcPr>
            <w:tcW w:w="4140" w:type="dxa"/>
          </w:tcPr>
          <w:p w14:paraId="0A25EDC8" w14:textId="77777777" w:rsidR="00194148" w:rsidRDefault="00194148" w:rsidP="00194148">
            <w:pPr>
              <w:shd w:val="clear" w:color="auto" w:fill="FFFFFF"/>
              <w:rPr>
                <w:rFonts w:eastAsia="Times New Roman" w:cstheme="minorHAnsi"/>
                <w:color w:val="000000"/>
                <w:sz w:val="24"/>
                <w:szCs w:val="24"/>
              </w:rPr>
            </w:pPr>
            <w:r w:rsidRPr="006669A8">
              <w:rPr>
                <w:rFonts w:eastAsia="Times New Roman" w:cstheme="minorHAnsi"/>
                <w:color w:val="000000"/>
                <w:sz w:val="24"/>
                <w:szCs w:val="24"/>
              </w:rPr>
              <w:lastRenderedPageBreak/>
              <w:t>(6) Taste and food quality evaluation and consumer acceptance studies:</w:t>
            </w:r>
          </w:p>
          <w:p w14:paraId="6C1FCCC6" w14:textId="77777777" w:rsidR="00194148" w:rsidRPr="006669A8" w:rsidRDefault="00194148" w:rsidP="00194148">
            <w:pPr>
              <w:shd w:val="clear" w:color="auto" w:fill="FFFFFF"/>
              <w:rPr>
                <w:rFonts w:eastAsia="Times New Roman" w:cstheme="minorHAnsi"/>
                <w:color w:val="000000"/>
                <w:sz w:val="24"/>
                <w:szCs w:val="24"/>
              </w:rPr>
            </w:pPr>
          </w:p>
          <w:p w14:paraId="1AFFADD6" w14:textId="77777777" w:rsidR="00194148" w:rsidRPr="00194148" w:rsidRDefault="00194148" w:rsidP="00194148">
            <w:pPr>
              <w:pStyle w:val="ListParagraph"/>
              <w:numPr>
                <w:ilvl w:val="0"/>
                <w:numId w:val="11"/>
              </w:numPr>
              <w:shd w:val="clear" w:color="auto" w:fill="FFFFFF"/>
              <w:ind w:left="360" w:hanging="360"/>
              <w:rPr>
                <w:rFonts w:eastAsia="Times New Roman" w:cstheme="minorHAnsi"/>
                <w:color w:val="000000"/>
                <w:sz w:val="24"/>
                <w:szCs w:val="24"/>
              </w:rPr>
            </w:pPr>
            <w:r w:rsidRPr="00194148">
              <w:rPr>
                <w:rFonts w:eastAsia="Times New Roman" w:cstheme="minorHAnsi"/>
                <w:color w:val="000000"/>
                <w:sz w:val="24"/>
                <w:szCs w:val="24"/>
              </w:rPr>
              <w:lastRenderedPageBreak/>
              <w:t>If wholesome foods without additives are consumed, or</w:t>
            </w:r>
          </w:p>
          <w:p w14:paraId="5DBC9F6A" w14:textId="77777777" w:rsidR="00194148" w:rsidRPr="00194148" w:rsidRDefault="00194148" w:rsidP="00194148">
            <w:pPr>
              <w:pStyle w:val="ListParagraph"/>
              <w:shd w:val="clear" w:color="auto" w:fill="FFFFFF"/>
              <w:ind w:left="360" w:hanging="360"/>
              <w:rPr>
                <w:rFonts w:eastAsia="Times New Roman" w:cstheme="minorHAnsi"/>
                <w:color w:val="000000"/>
                <w:sz w:val="24"/>
                <w:szCs w:val="24"/>
              </w:rPr>
            </w:pPr>
          </w:p>
          <w:p w14:paraId="283C99F3" w14:textId="77777777" w:rsidR="006669A8" w:rsidRPr="00544BA2" w:rsidRDefault="00194148" w:rsidP="00194148">
            <w:pPr>
              <w:shd w:val="clear" w:color="auto" w:fill="FFFFFF"/>
              <w:ind w:left="360" w:hanging="360"/>
              <w:rPr>
                <w:rFonts w:cstheme="minorHAnsi"/>
                <w:color w:val="000000"/>
                <w:sz w:val="24"/>
                <w:szCs w:val="24"/>
              </w:rPr>
            </w:pPr>
            <w:r w:rsidRPr="006669A8">
              <w:rPr>
                <w:rFonts w:eastAsia="Times New Roman" w:cstheme="minorHAnsi"/>
                <w:color w:val="000000"/>
                <w:sz w:val="24"/>
                <w:szCs w:val="24"/>
              </w:rPr>
              <w:t>(ii)</w:t>
            </w:r>
            <w:r>
              <w:rPr>
                <w:rFonts w:eastAsia="Times New Roman" w:cstheme="minorHAnsi"/>
                <w:color w:val="000000"/>
                <w:sz w:val="24"/>
                <w:szCs w:val="24"/>
              </w:rPr>
              <w:tab/>
            </w:r>
            <w:r w:rsidRPr="006669A8">
              <w:rPr>
                <w:rFonts w:eastAsia="Times New Roman" w:cstheme="minorHAnsi"/>
                <w:color w:val="000000"/>
                <w:sz w:val="24"/>
                <w:szCs w:val="24"/>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c>
          <w:tcPr>
            <w:tcW w:w="3780" w:type="dxa"/>
          </w:tcPr>
          <w:p w14:paraId="37EABD18" w14:textId="77777777" w:rsidR="006669A8" w:rsidRDefault="006669A8" w:rsidP="006669A8">
            <w:pPr>
              <w:rPr>
                <w:sz w:val="24"/>
              </w:rPr>
            </w:pPr>
            <w:r>
              <w:rPr>
                <w:sz w:val="24"/>
              </w:rPr>
              <w:lastRenderedPageBreak/>
              <w:t>Remains unchanged</w:t>
            </w:r>
          </w:p>
        </w:tc>
      </w:tr>
      <w:tr w:rsidR="006669A8" w:rsidRPr="00386633" w14:paraId="0B940785" w14:textId="77777777" w:rsidTr="00386633">
        <w:tc>
          <w:tcPr>
            <w:tcW w:w="2245" w:type="dxa"/>
          </w:tcPr>
          <w:p w14:paraId="18077853" w14:textId="77777777" w:rsidR="006669A8" w:rsidRDefault="00194148" w:rsidP="006669A8">
            <w:pPr>
              <w:rPr>
                <w:b/>
                <w:sz w:val="24"/>
              </w:rPr>
            </w:pPr>
            <w:r>
              <w:rPr>
                <w:b/>
                <w:sz w:val="24"/>
              </w:rPr>
              <w:t>Category 7</w:t>
            </w:r>
          </w:p>
          <w:p w14:paraId="719FBD59" w14:textId="77777777" w:rsidR="00194148" w:rsidRPr="00B71EB1" w:rsidRDefault="00194148" w:rsidP="006669A8">
            <w:pPr>
              <w:rPr>
                <w:b/>
                <w:sz w:val="24"/>
              </w:rPr>
            </w:pPr>
            <w:r>
              <w:rPr>
                <w:b/>
                <w:sz w:val="24"/>
              </w:rPr>
              <w:t>Storage/Maintenance of Data/Specimens (Broad Consent)</w:t>
            </w:r>
          </w:p>
        </w:tc>
        <w:tc>
          <w:tcPr>
            <w:tcW w:w="3960" w:type="dxa"/>
          </w:tcPr>
          <w:p w14:paraId="182FFE30" w14:textId="77777777" w:rsidR="006669A8" w:rsidRPr="00386633" w:rsidRDefault="00194148" w:rsidP="006669A8">
            <w:pPr>
              <w:rPr>
                <w:sz w:val="24"/>
              </w:rPr>
            </w:pPr>
            <w:r>
              <w:rPr>
                <w:sz w:val="24"/>
              </w:rPr>
              <w:t>N/A</w:t>
            </w:r>
          </w:p>
        </w:tc>
        <w:tc>
          <w:tcPr>
            <w:tcW w:w="4140" w:type="dxa"/>
          </w:tcPr>
          <w:p w14:paraId="04373ED9" w14:textId="77777777" w:rsidR="006669A8" w:rsidRPr="00544BA2" w:rsidRDefault="006669A8" w:rsidP="00544BA2">
            <w:pPr>
              <w:pStyle w:val="NormalWeb"/>
              <w:shd w:val="clear" w:color="auto" w:fill="FFFFFF"/>
              <w:spacing w:after="0" w:afterAutospacing="0"/>
              <w:rPr>
                <w:rFonts w:asciiTheme="minorHAnsi" w:hAnsiTheme="minorHAnsi" w:cstheme="minorHAnsi"/>
                <w:color w:val="000000"/>
              </w:rPr>
            </w:pPr>
            <w:r w:rsidRPr="00544BA2">
              <w:rPr>
                <w:rFonts w:asciiTheme="minorHAnsi" w:hAnsiTheme="minorHAnsi" w:cstheme="minorHAnsi"/>
                <w:color w:val="000000"/>
                <w:shd w:val="clear" w:color="auto" w:fill="FFFFFF"/>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p>
        </w:tc>
        <w:tc>
          <w:tcPr>
            <w:tcW w:w="3780" w:type="dxa"/>
          </w:tcPr>
          <w:p w14:paraId="5672C247" w14:textId="77777777" w:rsidR="006669A8" w:rsidRDefault="006669A8" w:rsidP="006669A8">
            <w:pPr>
              <w:rPr>
                <w:sz w:val="24"/>
              </w:rPr>
            </w:pPr>
            <w:r>
              <w:rPr>
                <w:sz w:val="24"/>
              </w:rPr>
              <w:t xml:space="preserve">UAB will </w:t>
            </w:r>
            <w:r w:rsidRPr="006669A8">
              <w:rPr>
                <w:sz w:val="24"/>
                <w:u w:val="single"/>
              </w:rPr>
              <w:t>NOT</w:t>
            </w:r>
            <w:r>
              <w:rPr>
                <w:sz w:val="24"/>
              </w:rPr>
              <w:t xml:space="preserve"> implement this exemption category</w:t>
            </w:r>
          </w:p>
        </w:tc>
      </w:tr>
      <w:tr w:rsidR="006669A8" w:rsidRPr="00386633" w14:paraId="08403862" w14:textId="77777777" w:rsidTr="00386633">
        <w:tc>
          <w:tcPr>
            <w:tcW w:w="2245" w:type="dxa"/>
          </w:tcPr>
          <w:p w14:paraId="48F1381B" w14:textId="77777777" w:rsidR="00194148" w:rsidRDefault="00194148" w:rsidP="00194148">
            <w:pPr>
              <w:rPr>
                <w:b/>
                <w:sz w:val="24"/>
              </w:rPr>
            </w:pPr>
            <w:r>
              <w:rPr>
                <w:b/>
                <w:sz w:val="24"/>
              </w:rPr>
              <w:t>Category 8</w:t>
            </w:r>
          </w:p>
          <w:p w14:paraId="690245E3" w14:textId="77777777" w:rsidR="006669A8" w:rsidRPr="00B71EB1" w:rsidRDefault="00194148" w:rsidP="00194148">
            <w:pPr>
              <w:rPr>
                <w:b/>
                <w:sz w:val="24"/>
              </w:rPr>
            </w:pPr>
            <w:r>
              <w:rPr>
                <w:b/>
                <w:sz w:val="24"/>
              </w:rPr>
              <w:t>Secondary Use of Data/Specimens (Broad Consent)</w:t>
            </w:r>
          </w:p>
        </w:tc>
        <w:tc>
          <w:tcPr>
            <w:tcW w:w="3960" w:type="dxa"/>
          </w:tcPr>
          <w:p w14:paraId="17400CC1" w14:textId="77777777" w:rsidR="006669A8" w:rsidRPr="00386633" w:rsidRDefault="00194148" w:rsidP="006669A8">
            <w:pPr>
              <w:rPr>
                <w:sz w:val="24"/>
              </w:rPr>
            </w:pPr>
            <w:r>
              <w:rPr>
                <w:sz w:val="24"/>
              </w:rPr>
              <w:t>N/A</w:t>
            </w:r>
          </w:p>
        </w:tc>
        <w:tc>
          <w:tcPr>
            <w:tcW w:w="4140" w:type="dxa"/>
          </w:tcPr>
          <w:p w14:paraId="0F360230" w14:textId="77777777" w:rsidR="006669A8" w:rsidRDefault="006669A8" w:rsidP="00194148">
            <w:pPr>
              <w:shd w:val="clear" w:color="auto" w:fill="FFFFFF"/>
              <w:rPr>
                <w:rFonts w:eastAsia="Times New Roman" w:cstheme="minorHAnsi"/>
                <w:color w:val="000000"/>
                <w:sz w:val="24"/>
                <w:szCs w:val="24"/>
              </w:rPr>
            </w:pPr>
            <w:r w:rsidRPr="006669A8">
              <w:rPr>
                <w:rFonts w:eastAsia="Times New Roman" w:cstheme="minorHAnsi"/>
                <w:color w:val="000000"/>
                <w:sz w:val="24"/>
                <w:szCs w:val="24"/>
              </w:rPr>
              <w:t>(8) Secondary research for which broad consent is required: Research involving the use of identifiable private information or identifiable biospecimens for secondary research use, if the following criteria are met:</w:t>
            </w:r>
          </w:p>
          <w:p w14:paraId="25FE9626" w14:textId="77777777" w:rsidR="00194148" w:rsidRPr="006669A8" w:rsidRDefault="00194148" w:rsidP="00194148">
            <w:pPr>
              <w:shd w:val="clear" w:color="auto" w:fill="FFFFFF"/>
              <w:rPr>
                <w:rFonts w:eastAsia="Times New Roman" w:cstheme="minorHAnsi"/>
                <w:color w:val="000000"/>
                <w:sz w:val="24"/>
                <w:szCs w:val="24"/>
              </w:rPr>
            </w:pPr>
          </w:p>
          <w:p w14:paraId="32D2F7D0" w14:textId="77777777" w:rsidR="006669A8" w:rsidRDefault="00194148" w:rsidP="00194148">
            <w:pPr>
              <w:shd w:val="clear" w:color="auto" w:fill="FFFFFF"/>
              <w:ind w:left="360" w:hanging="360"/>
              <w:rPr>
                <w:rFonts w:eastAsia="Times New Roman" w:cstheme="minorHAnsi"/>
                <w:color w:val="000000"/>
                <w:sz w:val="24"/>
                <w:szCs w:val="24"/>
              </w:rPr>
            </w:pPr>
            <w:r>
              <w:rPr>
                <w:rFonts w:eastAsia="Times New Roman" w:cstheme="minorHAnsi"/>
                <w:color w:val="000000"/>
                <w:sz w:val="24"/>
                <w:szCs w:val="24"/>
              </w:rPr>
              <w:t>(i)</w:t>
            </w:r>
            <w:r>
              <w:rPr>
                <w:rFonts w:eastAsia="Times New Roman" w:cstheme="minorHAnsi"/>
                <w:color w:val="000000"/>
                <w:sz w:val="24"/>
                <w:szCs w:val="24"/>
              </w:rPr>
              <w:tab/>
            </w:r>
            <w:r w:rsidR="006669A8" w:rsidRPr="006669A8">
              <w:rPr>
                <w:rFonts w:eastAsia="Times New Roman" w:cstheme="minorHAnsi"/>
                <w:color w:val="000000"/>
                <w:sz w:val="24"/>
                <w:szCs w:val="24"/>
              </w:rPr>
              <w:t>Broad consent for the storage, maintenance, and secondary research use of the identifiable private information or identifiable biospecimens was obtained in accordance with §46.116(a)(1) through (4), (a)(6), and (d);</w:t>
            </w:r>
          </w:p>
          <w:p w14:paraId="6279AF64" w14:textId="77777777" w:rsidR="00194148" w:rsidRPr="006669A8" w:rsidRDefault="00194148" w:rsidP="00194148">
            <w:pPr>
              <w:shd w:val="clear" w:color="auto" w:fill="FFFFFF"/>
              <w:ind w:left="360" w:hanging="360"/>
              <w:rPr>
                <w:rFonts w:eastAsia="Times New Roman" w:cstheme="minorHAnsi"/>
                <w:color w:val="000000"/>
                <w:sz w:val="24"/>
                <w:szCs w:val="24"/>
              </w:rPr>
            </w:pPr>
          </w:p>
          <w:p w14:paraId="714A7E72" w14:textId="77777777" w:rsidR="006669A8" w:rsidRPr="00194148" w:rsidRDefault="006669A8" w:rsidP="00194148">
            <w:pPr>
              <w:pStyle w:val="ListParagraph"/>
              <w:numPr>
                <w:ilvl w:val="0"/>
                <w:numId w:val="11"/>
              </w:numPr>
              <w:shd w:val="clear" w:color="auto" w:fill="FFFFFF"/>
              <w:ind w:left="360" w:hanging="360"/>
              <w:rPr>
                <w:rFonts w:eastAsia="Times New Roman" w:cstheme="minorHAnsi"/>
                <w:color w:val="000000"/>
                <w:sz w:val="24"/>
                <w:szCs w:val="24"/>
              </w:rPr>
            </w:pPr>
            <w:r w:rsidRPr="00194148">
              <w:rPr>
                <w:rFonts w:eastAsia="Times New Roman" w:cstheme="minorHAnsi"/>
                <w:color w:val="000000"/>
                <w:sz w:val="24"/>
                <w:szCs w:val="24"/>
              </w:rPr>
              <w:t>Documentation of informed consent or waiver of documentation of consent was obtained in accordance with §46.117;</w:t>
            </w:r>
          </w:p>
          <w:p w14:paraId="51E1C390" w14:textId="77777777" w:rsidR="00194148" w:rsidRPr="00194148" w:rsidRDefault="00194148" w:rsidP="00194148">
            <w:pPr>
              <w:pStyle w:val="ListParagraph"/>
              <w:shd w:val="clear" w:color="auto" w:fill="FFFFFF"/>
              <w:ind w:left="360" w:hanging="360"/>
              <w:rPr>
                <w:rFonts w:eastAsia="Times New Roman" w:cstheme="minorHAnsi"/>
                <w:color w:val="000000"/>
                <w:sz w:val="24"/>
                <w:szCs w:val="24"/>
              </w:rPr>
            </w:pPr>
          </w:p>
          <w:p w14:paraId="5D1857BB" w14:textId="77777777" w:rsidR="006669A8" w:rsidRPr="00544BA2" w:rsidRDefault="006669A8" w:rsidP="00194148">
            <w:pPr>
              <w:pStyle w:val="ListParagraph"/>
              <w:numPr>
                <w:ilvl w:val="0"/>
                <w:numId w:val="11"/>
              </w:numPr>
              <w:shd w:val="clear" w:color="auto" w:fill="FFFFFF"/>
              <w:ind w:left="360" w:hanging="360"/>
              <w:rPr>
                <w:rFonts w:cstheme="minorHAnsi"/>
                <w:color w:val="000000"/>
                <w:sz w:val="24"/>
                <w:szCs w:val="24"/>
              </w:rPr>
            </w:pPr>
            <w:r w:rsidRPr="00194148">
              <w:rPr>
                <w:rFonts w:eastAsia="Times New Roman" w:cstheme="minorHAnsi"/>
                <w:color w:val="000000"/>
                <w:sz w:val="24"/>
                <w:szCs w:val="24"/>
              </w:rPr>
              <w:t>An IRB conducts a limited IRB review and makes the determination required by §46.111(a</w:t>
            </w:r>
            <w:proofErr w:type="gramStart"/>
            <w:r w:rsidRPr="00194148">
              <w:rPr>
                <w:rFonts w:eastAsia="Times New Roman" w:cstheme="minorHAnsi"/>
                <w:color w:val="000000"/>
                <w:sz w:val="24"/>
                <w:szCs w:val="24"/>
              </w:rPr>
              <w:t>)(</w:t>
            </w:r>
            <w:proofErr w:type="gramEnd"/>
            <w:r w:rsidRPr="00194148">
              <w:rPr>
                <w:rFonts w:eastAsia="Times New Roman" w:cstheme="minorHAnsi"/>
                <w:color w:val="000000"/>
                <w:sz w:val="24"/>
                <w:szCs w:val="24"/>
              </w:rPr>
              <w:t>7) and makes the determination that the research to be conducted is within the scope of the broad consent referenced in paragraph (d)(8)(i) of this section; and (iv) The investigator does not include returning individual research results to subjects as part of the study plan. This provision does not prevent an investigator from abiding by any legal requirements to return individual research results.</w:t>
            </w:r>
          </w:p>
        </w:tc>
        <w:tc>
          <w:tcPr>
            <w:tcW w:w="3780" w:type="dxa"/>
          </w:tcPr>
          <w:p w14:paraId="09EA9AC5" w14:textId="77777777" w:rsidR="006669A8" w:rsidRDefault="006669A8" w:rsidP="006669A8">
            <w:pPr>
              <w:rPr>
                <w:sz w:val="24"/>
              </w:rPr>
            </w:pPr>
            <w:r>
              <w:rPr>
                <w:sz w:val="24"/>
              </w:rPr>
              <w:t xml:space="preserve">UAB will </w:t>
            </w:r>
            <w:r w:rsidRPr="006669A8">
              <w:rPr>
                <w:sz w:val="24"/>
                <w:u w:val="single"/>
              </w:rPr>
              <w:t>NOT</w:t>
            </w:r>
            <w:r>
              <w:rPr>
                <w:sz w:val="24"/>
              </w:rPr>
              <w:t xml:space="preserve"> implement this exemption category</w:t>
            </w:r>
          </w:p>
        </w:tc>
      </w:tr>
    </w:tbl>
    <w:p w14:paraId="22BFBFA6" w14:textId="77777777" w:rsidR="00C142FC" w:rsidRDefault="00C142FC">
      <w:bookmarkStart w:id="0" w:name="_GoBack"/>
      <w:bookmarkEnd w:id="0"/>
    </w:p>
    <w:sectPr w:rsidR="00C142FC" w:rsidSect="0038663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2EC"/>
    <w:multiLevelType w:val="hybridMultilevel"/>
    <w:tmpl w:val="F90E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D042B"/>
    <w:multiLevelType w:val="hybridMultilevel"/>
    <w:tmpl w:val="E8AA70A0"/>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473C1"/>
    <w:multiLevelType w:val="hybridMultilevel"/>
    <w:tmpl w:val="2AA2E8BC"/>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1AC3"/>
    <w:multiLevelType w:val="hybridMultilevel"/>
    <w:tmpl w:val="F538E530"/>
    <w:lvl w:ilvl="0" w:tplc="01487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D622D"/>
    <w:multiLevelType w:val="hybridMultilevel"/>
    <w:tmpl w:val="17F46892"/>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34A79"/>
    <w:multiLevelType w:val="hybridMultilevel"/>
    <w:tmpl w:val="91AAB72C"/>
    <w:lvl w:ilvl="0" w:tplc="E320F0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157CC9"/>
    <w:multiLevelType w:val="hybridMultilevel"/>
    <w:tmpl w:val="1FA453FA"/>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065"/>
    <w:multiLevelType w:val="hybridMultilevel"/>
    <w:tmpl w:val="118452F0"/>
    <w:lvl w:ilvl="0" w:tplc="11CAB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F5371"/>
    <w:multiLevelType w:val="hybridMultilevel"/>
    <w:tmpl w:val="E996B814"/>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F5C9C"/>
    <w:multiLevelType w:val="hybridMultilevel"/>
    <w:tmpl w:val="92C2C614"/>
    <w:lvl w:ilvl="0" w:tplc="83967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E63F6"/>
    <w:multiLevelType w:val="hybridMultilevel"/>
    <w:tmpl w:val="38047C9E"/>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56844"/>
    <w:multiLevelType w:val="hybridMultilevel"/>
    <w:tmpl w:val="9B582DE6"/>
    <w:lvl w:ilvl="0" w:tplc="F0963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3"/>
  </w:num>
  <w:num w:numId="5">
    <w:abstractNumId w:val="9"/>
  </w:num>
  <w:num w:numId="6">
    <w:abstractNumId w:val="6"/>
  </w:num>
  <w:num w:numId="7">
    <w:abstractNumId w:val="1"/>
  </w:num>
  <w:num w:numId="8">
    <w:abstractNumId w:val="11"/>
  </w:num>
  <w:num w:numId="9">
    <w:abstractNumId w:val="2"/>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33"/>
    <w:rsid w:val="00097BD5"/>
    <w:rsid w:val="00194148"/>
    <w:rsid w:val="0024134E"/>
    <w:rsid w:val="002F356D"/>
    <w:rsid w:val="002F37A9"/>
    <w:rsid w:val="00386633"/>
    <w:rsid w:val="003E30D9"/>
    <w:rsid w:val="00544BA2"/>
    <w:rsid w:val="005E151D"/>
    <w:rsid w:val="00654841"/>
    <w:rsid w:val="006669A8"/>
    <w:rsid w:val="00840D9B"/>
    <w:rsid w:val="00B71EB1"/>
    <w:rsid w:val="00C142FC"/>
    <w:rsid w:val="00D926BE"/>
    <w:rsid w:val="00DD086F"/>
    <w:rsid w:val="00E625C9"/>
    <w:rsid w:val="00F3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6EE8"/>
  <w15:chartTrackingRefBased/>
  <w15:docId w15:val="{32D13445-3BEA-4230-85BF-134714D0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08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EB1"/>
    <w:pPr>
      <w:ind w:left="720"/>
      <w:contextualSpacing/>
    </w:pPr>
  </w:style>
  <w:style w:type="character" w:customStyle="1" w:styleId="Heading2Char">
    <w:name w:val="Heading 2 Char"/>
    <w:basedOn w:val="DefaultParagraphFont"/>
    <w:link w:val="Heading2"/>
    <w:uiPriority w:val="9"/>
    <w:semiHidden/>
    <w:rsid w:val="00DD086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97B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E625C9"/>
  </w:style>
  <w:style w:type="character" w:styleId="Hyperlink">
    <w:name w:val="Hyperlink"/>
    <w:basedOn w:val="DefaultParagraphFont"/>
    <w:uiPriority w:val="99"/>
    <w:semiHidden/>
    <w:unhideWhenUsed/>
    <w:rsid w:val="005E151D"/>
    <w:rPr>
      <w:color w:val="0000FF"/>
      <w:u w:val="single"/>
    </w:rPr>
  </w:style>
  <w:style w:type="character" w:customStyle="1" w:styleId="grame">
    <w:name w:val="grame"/>
    <w:basedOn w:val="DefaultParagraphFont"/>
    <w:rsid w:val="00840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1299">
      <w:bodyDiv w:val="1"/>
      <w:marLeft w:val="0"/>
      <w:marRight w:val="0"/>
      <w:marTop w:val="0"/>
      <w:marBottom w:val="0"/>
      <w:divBdr>
        <w:top w:val="none" w:sz="0" w:space="0" w:color="auto"/>
        <w:left w:val="none" w:sz="0" w:space="0" w:color="auto"/>
        <w:bottom w:val="none" w:sz="0" w:space="0" w:color="auto"/>
        <w:right w:val="none" w:sz="0" w:space="0" w:color="auto"/>
      </w:divBdr>
    </w:div>
    <w:div w:id="494420365">
      <w:bodyDiv w:val="1"/>
      <w:marLeft w:val="0"/>
      <w:marRight w:val="0"/>
      <w:marTop w:val="0"/>
      <w:marBottom w:val="0"/>
      <w:divBdr>
        <w:top w:val="none" w:sz="0" w:space="0" w:color="auto"/>
        <w:left w:val="none" w:sz="0" w:space="0" w:color="auto"/>
        <w:bottom w:val="none" w:sz="0" w:space="0" w:color="auto"/>
        <w:right w:val="none" w:sz="0" w:space="0" w:color="auto"/>
      </w:divBdr>
    </w:div>
    <w:div w:id="535697175">
      <w:bodyDiv w:val="1"/>
      <w:marLeft w:val="0"/>
      <w:marRight w:val="0"/>
      <w:marTop w:val="0"/>
      <w:marBottom w:val="0"/>
      <w:divBdr>
        <w:top w:val="none" w:sz="0" w:space="0" w:color="auto"/>
        <w:left w:val="none" w:sz="0" w:space="0" w:color="auto"/>
        <w:bottom w:val="none" w:sz="0" w:space="0" w:color="auto"/>
        <w:right w:val="none" w:sz="0" w:space="0" w:color="auto"/>
      </w:divBdr>
    </w:div>
    <w:div w:id="572815221">
      <w:bodyDiv w:val="1"/>
      <w:marLeft w:val="0"/>
      <w:marRight w:val="0"/>
      <w:marTop w:val="0"/>
      <w:marBottom w:val="0"/>
      <w:divBdr>
        <w:top w:val="none" w:sz="0" w:space="0" w:color="auto"/>
        <w:left w:val="none" w:sz="0" w:space="0" w:color="auto"/>
        <w:bottom w:val="none" w:sz="0" w:space="0" w:color="auto"/>
        <w:right w:val="none" w:sz="0" w:space="0" w:color="auto"/>
      </w:divBdr>
    </w:div>
    <w:div w:id="577055873">
      <w:bodyDiv w:val="1"/>
      <w:marLeft w:val="0"/>
      <w:marRight w:val="0"/>
      <w:marTop w:val="0"/>
      <w:marBottom w:val="0"/>
      <w:divBdr>
        <w:top w:val="none" w:sz="0" w:space="0" w:color="auto"/>
        <w:left w:val="none" w:sz="0" w:space="0" w:color="auto"/>
        <w:bottom w:val="none" w:sz="0" w:space="0" w:color="auto"/>
        <w:right w:val="none" w:sz="0" w:space="0" w:color="auto"/>
      </w:divBdr>
    </w:div>
    <w:div w:id="996107745">
      <w:bodyDiv w:val="1"/>
      <w:marLeft w:val="0"/>
      <w:marRight w:val="0"/>
      <w:marTop w:val="0"/>
      <w:marBottom w:val="0"/>
      <w:divBdr>
        <w:top w:val="none" w:sz="0" w:space="0" w:color="auto"/>
        <w:left w:val="none" w:sz="0" w:space="0" w:color="auto"/>
        <w:bottom w:val="none" w:sz="0" w:space="0" w:color="auto"/>
        <w:right w:val="none" w:sz="0" w:space="0" w:color="auto"/>
      </w:divBdr>
    </w:div>
    <w:div w:id="1408654331">
      <w:bodyDiv w:val="1"/>
      <w:marLeft w:val="0"/>
      <w:marRight w:val="0"/>
      <w:marTop w:val="0"/>
      <w:marBottom w:val="0"/>
      <w:divBdr>
        <w:top w:val="none" w:sz="0" w:space="0" w:color="auto"/>
        <w:left w:val="none" w:sz="0" w:space="0" w:color="auto"/>
        <w:bottom w:val="none" w:sz="0" w:space="0" w:color="auto"/>
        <w:right w:val="none" w:sz="0" w:space="0" w:color="auto"/>
      </w:divBdr>
    </w:div>
    <w:div w:id="1777676172">
      <w:bodyDiv w:val="1"/>
      <w:marLeft w:val="0"/>
      <w:marRight w:val="0"/>
      <w:marTop w:val="0"/>
      <w:marBottom w:val="0"/>
      <w:divBdr>
        <w:top w:val="none" w:sz="0" w:space="0" w:color="auto"/>
        <w:left w:val="none" w:sz="0" w:space="0" w:color="auto"/>
        <w:bottom w:val="none" w:sz="0" w:space="0" w:color="auto"/>
        <w:right w:val="none" w:sz="0" w:space="0" w:color="auto"/>
      </w:divBdr>
    </w:div>
    <w:div w:id="1894536269">
      <w:bodyDiv w:val="1"/>
      <w:marLeft w:val="0"/>
      <w:marRight w:val="0"/>
      <w:marTop w:val="0"/>
      <w:marBottom w:val="0"/>
      <w:divBdr>
        <w:top w:val="none" w:sz="0" w:space="0" w:color="auto"/>
        <w:left w:val="none" w:sz="0" w:space="0" w:color="auto"/>
        <w:bottom w:val="none" w:sz="0" w:space="0" w:color="auto"/>
        <w:right w:val="none" w:sz="0" w:space="0" w:color="auto"/>
      </w:divBdr>
    </w:div>
    <w:div w:id="19249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hs.gov/ohrp/regulations-and-policy/regulations/regulatory-text/index.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DocumentSubCat xmlns="b7565f3e-f365-40fb-821d-006a11e578ff" xsi:nil="true"/>
    <raDocumentCategory xmlns="b7565f3e-f365-40fb-821d-006a11e578ff">
      <Value>Guidance Document</Value>
    </raDocumentCategory>
    <raAudience xmlns="b7565f3e-f365-40fb-821d-006a11e578ff">
      <Value>Members</Value>
      <Value>Participants</Value>
      <Value>Researchers</Value>
      <Value>Students</Value>
    </raAudience>
    <raDocumentDescription xmlns="b7565f3e-f365-40fb-821d-006a11e578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38CF9-CAA3-4234-ABCB-AB67E9BDC500}"/>
</file>

<file path=customXml/itemProps2.xml><?xml version="1.0" encoding="utf-8"?>
<ds:datastoreItem xmlns:ds="http://schemas.openxmlformats.org/officeDocument/2006/customXml" ds:itemID="{EFB17F4D-F747-4EF3-B4F0-3BD72A66E373}"/>
</file>

<file path=customXml/itemProps3.xml><?xml version="1.0" encoding="utf-8"?>
<ds:datastoreItem xmlns:ds="http://schemas.openxmlformats.org/officeDocument/2006/customXml" ds:itemID="{D0A69B90-FA01-46F9-90EF-3C4191168433}"/>
</file>

<file path=docProps/app.xml><?xml version="1.0" encoding="utf-8"?>
<Properties xmlns="http://schemas.openxmlformats.org/officeDocument/2006/extended-properties" xmlns:vt="http://schemas.openxmlformats.org/officeDocument/2006/docPropsVTypes">
  <Template>Normal</Template>
  <TotalTime>0</TotalTime>
  <Pages>9</Pages>
  <Words>2050</Words>
  <Characters>11685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Michael</dc:creator>
  <cp:keywords/>
  <dc:description/>
  <cp:lastModifiedBy>Hill, Michael</cp:lastModifiedBy>
  <cp:revision>2</cp:revision>
  <dcterms:created xsi:type="dcterms:W3CDTF">2018-11-27T17:31:00Z</dcterms:created>
  <dcterms:modified xsi:type="dcterms:W3CDTF">2018-11-27T17:31:00Z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y fmtid="{D5CDD505-2E9C-101B-9397-08002B2CF9AE}" pid="3" name="Order">
    <vt:r8>26900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